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FDB2B" w14:textId="0C9C8409" w:rsidR="00B56C50" w:rsidRPr="00150F58" w:rsidRDefault="00C27F20" w:rsidP="00B56C50">
      <w:pPr>
        <w:spacing w:line="480" w:lineRule="auto"/>
        <w:jc w:val="center"/>
        <w:rPr>
          <w:rFonts w:ascii="Times New Roman" w:hAnsi="Times New Roman" w:cs="Times New Roman"/>
        </w:rPr>
      </w:pP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sidR="00B56C50" w:rsidRPr="00150F58">
        <w:rPr>
          <w:rFonts w:ascii="Times New Roman" w:hAnsi="Times New Roman" w:cs="Times New Roman"/>
          <w:b/>
          <w:bCs/>
        </w:rPr>
        <w:t>Crux: A Flipped-Lab, Indexed On-Demand Imaging Library to Improve Cardiac Sonography Clinical Readiness: A Literature Review</w:t>
      </w:r>
    </w:p>
    <w:p w14:paraId="5307D570" w14:textId="3C8C8417" w:rsidR="00B56C50" w:rsidRPr="00150F58" w:rsidRDefault="00B56C50" w:rsidP="00B56C50">
      <w:pPr>
        <w:spacing w:line="480" w:lineRule="auto"/>
        <w:jc w:val="center"/>
        <w:rPr>
          <w:rFonts w:ascii="Times New Roman" w:hAnsi="Times New Roman" w:cs="Times New Roman"/>
        </w:rPr>
      </w:pPr>
      <w:r w:rsidRPr="00150F58">
        <w:rPr>
          <w:rFonts w:ascii="Times New Roman" w:hAnsi="Times New Roman" w:cs="Times New Roman"/>
        </w:rPr>
        <w:t>Liberty Cowden</w:t>
      </w:r>
      <w:r w:rsidRPr="00150F58">
        <w:rPr>
          <w:rFonts w:ascii="Times New Roman" w:hAnsi="Times New Roman" w:cs="Times New Roman"/>
        </w:rPr>
        <w:br/>
        <w:t>Lamar University</w:t>
      </w:r>
      <w:r w:rsidRPr="00150F58">
        <w:rPr>
          <w:rFonts w:ascii="Times New Roman" w:hAnsi="Times New Roman" w:cs="Times New Roman"/>
        </w:rPr>
        <w:br/>
        <w:t>EDLD 5305 D31 _OL</w:t>
      </w:r>
      <w:r w:rsidRPr="00150F58">
        <w:rPr>
          <w:rFonts w:ascii="Times New Roman" w:hAnsi="Times New Roman" w:cs="Times New Roman"/>
        </w:rPr>
        <w:br/>
        <w:t>Dr. Fredy Padovan</w:t>
      </w:r>
      <w:r w:rsidRPr="00150F58">
        <w:rPr>
          <w:rFonts w:ascii="Times New Roman" w:hAnsi="Times New Roman" w:cs="Times New Roman"/>
        </w:rPr>
        <w:br/>
        <w:t>April 11, 2026</w:t>
      </w:r>
    </w:p>
    <w:p w14:paraId="75B43C98" w14:textId="77777777" w:rsidR="00B56C50" w:rsidRPr="00150F58" w:rsidRDefault="00B56C50">
      <w:pPr>
        <w:rPr>
          <w:rFonts w:ascii="Times New Roman" w:hAnsi="Times New Roman" w:cs="Times New Roman"/>
        </w:rPr>
      </w:pPr>
      <w:r w:rsidRPr="00150F58">
        <w:rPr>
          <w:rFonts w:ascii="Times New Roman" w:hAnsi="Times New Roman" w:cs="Times New Roman"/>
        </w:rPr>
        <w:br w:type="page"/>
      </w:r>
    </w:p>
    <w:p w14:paraId="7050850D" w14:textId="77777777" w:rsidR="00B56C50" w:rsidRPr="00150F58" w:rsidRDefault="00B56C50" w:rsidP="00C27F20">
      <w:pPr>
        <w:spacing w:line="480" w:lineRule="auto"/>
        <w:jc w:val="center"/>
        <w:rPr>
          <w:rFonts w:ascii="Times New Roman" w:hAnsi="Times New Roman" w:cs="Times New Roman"/>
          <w:b/>
          <w:bCs/>
        </w:rPr>
      </w:pPr>
      <w:r w:rsidRPr="00150F58">
        <w:rPr>
          <w:rFonts w:ascii="Times New Roman" w:hAnsi="Times New Roman" w:cs="Times New Roman"/>
          <w:b/>
          <w:bCs/>
        </w:rPr>
        <w:lastRenderedPageBreak/>
        <w:t>Crux: A Flipped-Lab, Indexed On-Demand Imaging Library to Improve Cardiac Sonography Clinical Readiness: A Literature Review</w:t>
      </w:r>
    </w:p>
    <w:p w14:paraId="1F29CFD9" w14:textId="2E676F3D" w:rsidR="00B56C50" w:rsidRPr="00150F58" w:rsidRDefault="00CE7399" w:rsidP="00B56C50">
      <w:pPr>
        <w:spacing w:line="480" w:lineRule="auto"/>
        <w:rPr>
          <w:rFonts w:ascii="Times New Roman" w:hAnsi="Times New Roman" w:cs="Times New Roman"/>
          <w:b/>
          <w:bCs/>
        </w:rPr>
      </w:pPr>
      <w:r w:rsidRPr="00150F58">
        <w:rPr>
          <w:rFonts w:ascii="Times New Roman" w:hAnsi="Times New Roman" w:cs="Times New Roman"/>
          <w:b/>
          <w:bCs/>
        </w:rPr>
        <w:br/>
      </w:r>
      <w:r w:rsidR="00B56C50" w:rsidRPr="00150F58">
        <w:rPr>
          <w:rFonts w:ascii="Times New Roman" w:hAnsi="Times New Roman" w:cs="Times New Roman"/>
          <w:b/>
          <w:bCs/>
        </w:rPr>
        <w:t>Introduction</w:t>
      </w:r>
    </w:p>
    <w:p w14:paraId="221783E3"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 xml:space="preserve">Clinical preparation in cardiovascular sonography requires more than theoretical understanding; it demands procedural fluency under time pressure. Students must coordinate probe manipulation, anatomical recognition, image optimization, and </w:t>
      </w:r>
      <w:proofErr w:type="gramStart"/>
      <w:r w:rsidRPr="00150F58">
        <w:rPr>
          <w:rFonts w:ascii="Times New Roman" w:hAnsi="Times New Roman" w:cs="Times New Roman"/>
        </w:rPr>
        <w:t>measurement accuracy</w:t>
      </w:r>
      <w:proofErr w:type="gramEnd"/>
      <w:r w:rsidRPr="00150F58">
        <w:rPr>
          <w:rFonts w:ascii="Times New Roman" w:hAnsi="Times New Roman" w:cs="Times New Roman"/>
        </w:rPr>
        <w:t xml:space="preserve"> in real time. Early learners often struggle not due to lack of exposure but because technical precision develops through structured repetition and corrective feedback rather than observation alone.</w:t>
      </w:r>
    </w:p>
    <w:p w14:paraId="7B2B6873" w14:textId="1133EFB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Many sonography programs face laboratory capacity constraints that limit the number of supervised scanning attempts available before clinical placement. When in-person lab sessions are devoted primarily to instructor-led demonstrations, opportunities for iterative, coached practice decrease. Consequently, students may begin clinical rotations having observed correct technique but with</w:t>
      </w:r>
      <w:r w:rsidR="00FD6536" w:rsidRPr="00150F58">
        <w:rPr>
          <w:rFonts w:ascii="Times New Roman" w:hAnsi="Times New Roman" w:cs="Times New Roman"/>
        </w:rPr>
        <w:t xml:space="preserve"> </w:t>
      </w:r>
      <w:r w:rsidR="00DD0F6D" w:rsidRPr="00150F58">
        <w:rPr>
          <w:rFonts w:ascii="Times New Roman" w:hAnsi="Times New Roman" w:cs="Times New Roman"/>
        </w:rPr>
        <w:t>in</w:t>
      </w:r>
      <w:r w:rsidRPr="00150F58">
        <w:rPr>
          <w:rFonts w:ascii="Times New Roman" w:hAnsi="Times New Roman" w:cs="Times New Roman"/>
        </w:rPr>
        <w:t>sufficient repetition to perform consistently.</w:t>
      </w:r>
    </w:p>
    <w:p w14:paraId="4B530930" w14:textId="399CB1FF" w:rsidR="001E6E35"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Reconsidering how lab time is structured becomes critical. Research across flipped learning, multimedia instruction, feedback theory, deliberate practice, cognitive load, and ultrasound education provides converging evidence that instructional time should prioritize performance refinement over repeated demonstration. The proposed innovation, Crux, applies this research by shifting foundational modeling to an indexed digital imaging library while reserving laboratory sessions for guided practice and corrective feedback.</w:t>
      </w:r>
    </w:p>
    <w:p w14:paraId="4B6560EC" w14:textId="77777777" w:rsidR="001E6E35" w:rsidRPr="00150F58" w:rsidRDefault="001E6E35" w:rsidP="00141F8D">
      <w:pPr>
        <w:rPr>
          <w:rFonts w:ascii="Times New Roman" w:hAnsi="Times New Roman" w:cs="Times New Roman"/>
        </w:rPr>
      </w:pPr>
      <w:r w:rsidRPr="00150F58">
        <w:rPr>
          <w:rFonts w:ascii="Times New Roman" w:hAnsi="Times New Roman" w:cs="Times New Roman"/>
        </w:rPr>
        <w:br w:type="page"/>
      </w:r>
    </w:p>
    <w:p w14:paraId="135A0B28" w14:textId="77777777" w:rsidR="00B56C50" w:rsidRPr="00150F58" w:rsidRDefault="00B56C50" w:rsidP="00141F8D">
      <w:pPr>
        <w:spacing w:line="480" w:lineRule="auto"/>
        <w:rPr>
          <w:rFonts w:ascii="Times New Roman" w:hAnsi="Times New Roman" w:cs="Times New Roman"/>
          <w:b/>
          <w:bCs/>
        </w:rPr>
      </w:pPr>
      <w:r w:rsidRPr="00150F58">
        <w:rPr>
          <w:rFonts w:ascii="Times New Roman" w:hAnsi="Times New Roman" w:cs="Times New Roman"/>
          <w:b/>
          <w:bCs/>
        </w:rPr>
        <w:lastRenderedPageBreak/>
        <w:t>Flipped Learning and Instructional Reallocation</w:t>
      </w:r>
    </w:p>
    <w:p w14:paraId="006ACC6F"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Flipped classroom models relocate foundational instruction outside scheduled class sessions and reserve in-person time for active engagement. Meta-analytic evidence in health professions education indicates that flipped instruction can improve learning outcomes compared to traditional lecture-based approaches (Doyle et al., 2019). Similarly, Strelan et al. (2018) found positive academic effects across disciplines when flipped environments incorporated structured in-class application.</w:t>
      </w:r>
    </w:p>
    <w:p w14:paraId="1C317C11"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However, learning gains are not produced by pre-class exposure alone. Jensen et al. (2015) demonstrated that improvements associated with flipped classrooms are largely attributable to active learning components rather than format change itself. In graduate medical education, flipped designs have shown effectiveness when structured engagement follows pre-class preparation (Chen et al., 2017).</w:t>
      </w:r>
    </w:p>
    <w:p w14:paraId="3171656E" w14:textId="26E1FE76" w:rsidR="00527F45"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 xml:space="preserve">Together, this research suggests that the primary benefit of flipped learning lies in instructional reallocation. For procedural disciplines such as sonography, reallocating time </w:t>
      </w:r>
      <w:r w:rsidR="007213EE" w:rsidRPr="00150F58">
        <w:rPr>
          <w:rFonts w:ascii="Times New Roman" w:hAnsi="Times New Roman" w:cs="Times New Roman"/>
        </w:rPr>
        <w:t>formerly dedicated to</w:t>
      </w:r>
      <w:r w:rsidRPr="00150F58">
        <w:rPr>
          <w:rFonts w:ascii="Times New Roman" w:hAnsi="Times New Roman" w:cs="Times New Roman"/>
        </w:rPr>
        <w:t xml:space="preserve"> demonstration to coached repetition increases the likelihood of skill consolidation.</w:t>
      </w:r>
    </w:p>
    <w:p w14:paraId="3193C488" w14:textId="533ECE57" w:rsidR="00B56C50" w:rsidRPr="00150F58" w:rsidRDefault="00B56C50" w:rsidP="00DA4F98">
      <w:pPr>
        <w:spacing w:line="480" w:lineRule="auto"/>
        <w:rPr>
          <w:rFonts w:ascii="Times New Roman" w:hAnsi="Times New Roman" w:cs="Times New Roman"/>
          <w:b/>
          <w:bCs/>
        </w:rPr>
      </w:pPr>
      <w:r w:rsidRPr="00150F58">
        <w:rPr>
          <w:rFonts w:ascii="Times New Roman" w:hAnsi="Times New Roman" w:cs="Times New Roman"/>
          <w:b/>
          <w:bCs/>
        </w:rPr>
        <w:t>Ultrasound Education and Instructional Format</w:t>
      </w:r>
    </w:p>
    <w:p w14:paraId="0CE771DF"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Ultrasound-specific research supports thoughtful integration of blended delivery models. Custer et al. (2022) examined lecture, online, flipped, and blended instructional formats within diagnostic medical sonography education and found that delivery format influenced both learner perceptions and performance outcomes. Their findings indicate that flexibility alone is insufficient; structured engagement remains essential.</w:t>
      </w:r>
    </w:p>
    <w:p w14:paraId="234DE284" w14:textId="727D8855"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lastRenderedPageBreak/>
        <w:t>Mobile-supported ultrasound instruction has also demonstrated feasibility within procedural training contexts. Tartari et al. (2017) evaluated mobile app–guided training in eFAST ultrasound and found that digital adjuncts can effectively supplement traditional hands-on instruction. These findings reinforce the viability of structured digital preparation within ultrasound education.</w:t>
      </w:r>
    </w:p>
    <w:p w14:paraId="7DF796ED" w14:textId="77777777" w:rsidR="00B56C50" w:rsidRPr="00150F58" w:rsidRDefault="00B56C50" w:rsidP="00B56C50">
      <w:pPr>
        <w:spacing w:line="480" w:lineRule="auto"/>
        <w:rPr>
          <w:rFonts w:ascii="Times New Roman" w:hAnsi="Times New Roman" w:cs="Times New Roman"/>
          <w:b/>
          <w:bCs/>
        </w:rPr>
      </w:pPr>
      <w:r w:rsidRPr="00150F58">
        <w:rPr>
          <w:rFonts w:ascii="Times New Roman" w:hAnsi="Times New Roman" w:cs="Times New Roman"/>
          <w:b/>
          <w:bCs/>
        </w:rPr>
        <w:t>Multimedia Learning and Standardized Modeling</w:t>
      </w:r>
    </w:p>
    <w:p w14:paraId="1E65EC0C"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Sonography relies heavily on visual interpretation, making instructional clarity essential. Multimedia learning theory suggests that well-designed instructional materials reduce cognitive overload and enhance understanding when aligned with learner needs (Mayer, 2009).</w:t>
      </w:r>
    </w:p>
    <w:p w14:paraId="471D5C34"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Standardized instructional videos provide consistency across cohorts, reducing variability that may occur during repeated live demonstrations. Huang et al. (2009) emphasized the importance of usability and clarity in tutorial design platforms, underscoring the need for intentional multimedia construction.</w:t>
      </w:r>
    </w:p>
    <w:p w14:paraId="2A7236AA" w14:textId="14058530"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 xml:space="preserve">Video-supported feedback has demonstrated measurable impact on procedural learning. McCoy et al. (2015) found that video-assisted instruction improved learner performance in ultrasound education compared to traditional methods. These findings support the development of a structured imaging library that learners can access repeatedly to reinforce correct </w:t>
      </w:r>
      <w:proofErr w:type="gramStart"/>
      <w:r w:rsidRPr="00150F58">
        <w:rPr>
          <w:rFonts w:ascii="Times New Roman" w:hAnsi="Times New Roman" w:cs="Times New Roman"/>
        </w:rPr>
        <w:t>technique</w:t>
      </w:r>
      <w:proofErr w:type="gramEnd"/>
      <w:r w:rsidRPr="00150F58">
        <w:rPr>
          <w:rFonts w:ascii="Times New Roman" w:hAnsi="Times New Roman" w:cs="Times New Roman"/>
        </w:rPr>
        <w:t>.</w:t>
      </w:r>
    </w:p>
    <w:p w14:paraId="7AA7EE5F" w14:textId="77777777" w:rsidR="00B56C50" w:rsidRPr="00150F58" w:rsidRDefault="00B56C50" w:rsidP="00DA4F98">
      <w:pPr>
        <w:spacing w:line="480" w:lineRule="auto"/>
        <w:rPr>
          <w:rFonts w:ascii="Times New Roman" w:hAnsi="Times New Roman" w:cs="Times New Roman"/>
          <w:b/>
          <w:bCs/>
        </w:rPr>
      </w:pPr>
      <w:r w:rsidRPr="00150F58">
        <w:rPr>
          <w:rFonts w:ascii="Times New Roman" w:hAnsi="Times New Roman" w:cs="Times New Roman"/>
          <w:b/>
          <w:bCs/>
        </w:rPr>
        <w:t>Feedback and Deliberate Practice</w:t>
      </w:r>
    </w:p>
    <w:p w14:paraId="1770B1D1"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Feedback remains one of the most influential variables in educational outcomes. Hattie and Timperley (2007) described effective feedback as information that clarifies performance gaps and guides actionable improvement. In technical skill acquisition, timely correction prevents reinforcement of incorrect habits.</w:t>
      </w:r>
    </w:p>
    <w:p w14:paraId="596269C7"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lastRenderedPageBreak/>
        <w:t>Ericsson (2004) argued that expert performance develops through deliberate practice—structured, goal-oriented repetition paired with immediate feedback. Practice without corrective input does not reliably lead to expertise.</w:t>
      </w:r>
    </w:p>
    <w:p w14:paraId="2F80E2BE"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Medical education research further supports deliberate practice mechanisms. Staal et al. (2023) demonstrated measurable improvement in diagnostic justification through structured feedback cycles. While focused on reasoning, the principles extend to psychomotor skill development, where repetition must be guided to produce refinement.</w:t>
      </w:r>
    </w:p>
    <w:p w14:paraId="29600EE0" w14:textId="0B376D13"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By shifting foundational modeling outside the lab, Crux increases instructor availability for direct observation and feedback, strengthening deliberate practice conditions.</w:t>
      </w:r>
    </w:p>
    <w:p w14:paraId="652780EA" w14:textId="77777777" w:rsidR="00B56C50" w:rsidRPr="00150F58" w:rsidRDefault="00B56C50" w:rsidP="00B56C50">
      <w:pPr>
        <w:spacing w:line="480" w:lineRule="auto"/>
        <w:rPr>
          <w:rFonts w:ascii="Times New Roman" w:hAnsi="Times New Roman" w:cs="Times New Roman"/>
          <w:b/>
          <w:bCs/>
        </w:rPr>
      </w:pPr>
      <w:r w:rsidRPr="00150F58">
        <w:rPr>
          <w:rFonts w:ascii="Times New Roman" w:hAnsi="Times New Roman" w:cs="Times New Roman"/>
          <w:b/>
          <w:bCs/>
        </w:rPr>
        <w:t>Retrieval Practice and Cognitive Load</w:t>
      </w:r>
    </w:p>
    <w:p w14:paraId="37896D2C"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Learning science emphasizes the importance of retrieval in strengthening retention. Roediger and Karpicke (2006a, 2006b) demonstrated that retrieval practice enhances long-term retention more effectively than repeated review. When learners access and apply information during performance, retention improves.</w:t>
      </w:r>
    </w:p>
    <w:p w14:paraId="2E2DF47F"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Indexed digital resources facilitate retrieval by reducing search friction. In procedural settings, rapid access to relevant examples allows learners to apply corrective adjustments during the same practice attempt.</w:t>
      </w:r>
    </w:p>
    <w:p w14:paraId="340978DD"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Cognitive load theory further supports pre-lab preparation. Sweller (1988) argued that instructional design must account for limited working memory capacity. In ultrasound scanning, learners must simultaneously manage probe positioning, anatomical recognition, and technical optimization. Pre-lab familiarity reduces cognitive demand during live performance, allowing greater focus on refinement.</w:t>
      </w:r>
    </w:p>
    <w:p w14:paraId="2E9BED4C" w14:textId="77777777" w:rsidR="00B56C50" w:rsidRPr="00150F58" w:rsidRDefault="00B56C50" w:rsidP="00B56C50">
      <w:pPr>
        <w:spacing w:line="480" w:lineRule="auto"/>
        <w:rPr>
          <w:rFonts w:ascii="Times New Roman" w:hAnsi="Times New Roman" w:cs="Times New Roman"/>
          <w:b/>
          <w:bCs/>
        </w:rPr>
      </w:pPr>
      <w:r w:rsidRPr="00150F58">
        <w:rPr>
          <w:rFonts w:ascii="Times New Roman" w:hAnsi="Times New Roman" w:cs="Times New Roman"/>
          <w:b/>
          <w:bCs/>
        </w:rPr>
        <w:lastRenderedPageBreak/>
        <w:t>Synthesis and Implications</w:t>
      </w:r>
    </w:p>
    <w:p w14:paraId="2EEB5600"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 xml:space="preserve">Across the literature, a consistent theme </w:t>
      </w:r>
      <w:proofErr w:type="gramStart"/>
      <w:r w:rsidRPr="00150F58">
        <w:rPr>
          <w:rFonts w:ascii="Times New Roman" w:hAnsi="Times New Roman" w:cs="Times New Roman"/>
        </w:rPr>
        <w:t>emerges:</w:t>
      </w:r>
      <w:proofErr w:type="gramEnd"/>
      <w:r w:rsidRPr="00150F58">
        <w:rPr>
          <w:rFonts w:ascii="Times New Roman" w:hAnsi="Times New Roman" w:cs="Times New Roman"/>
        </w:rPr>
        <w:t xml:space="preserve"> instructional design should prioritize structured preparation, retrieval access, feedback, and repetition. Flipped learning reallocates time for engagement (Doyle et al., 2019; Strelan et al., 2018), but its effectiveness depends on how that time is used (Jensen et al., 2015). Multimedia clarity supports modeling (Mayer, 2009), and performance gains depend on feedback loops (Hattie &amp; Timperley, 2007; Ericsson, 2004). Retrieval strengthens retention (Roediger &amp; Karpicke, 2006a), and cognitive load considerations support staged exposure (Sweller, 1988).</w:t>
      </w:r>
    </w:p>
    <w:p w14:paraId="1494D8D3" w14:textId="227695A5"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Crux integrates these principles by combining standardized digital modeling, indexed retrieval support, and increased coached scanning time. Rather than adding technology to existing workflows, the model restructures instructional emphasis toward deliberate, feedback-rich practice.</w:t>
      </w:r>
    </w:p>
    <w:p w14:paraId="2D4EE2A2" w14:textId="77777777" w:rsidR="00B56C50" w:rsidRPr="00150F58" w:rsidRDefault="00B56C50" w:rsidP="00B56C50">
      <w:pPr>
        <w:spacing w:line="480" w:lineRule="auto"/>
        <w:rPr>
          <w:rFonts w:ascii="Times New Roman" w:hAnsi="Times New Roman" w:cs="Times New Roman"/>
          <w:b/>
          <w:bCs/>
        </w:rPr>
      </w:pPr>
      <w:r w:rsidRPr="00150F58">
        <w:rPr>
          <w:rFonts w:ascii="Times New Roman" w:hAnsi="Times New Roman" w:cs="Times New Roman"/>
          <w:b/>
          <w:bCs/>
        </w:rPr>
        <w:t>Conclusion</w:t>
      </w:r>
    </w:p>
    <w:p w14:paraId="46591B5F"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The evidence suggests that improving clinical readiness in cardiac sonography requires more than additional demonstration; it requires intentional redesign of how instructional time is used. Research across health professions education, multimedia learning, feedback theory, retrieval science, and ultrasound training converges on the importance of guided repetition and timely correction.</w:t>
      </w:r>
    </w:p>
    <w:p w14:paraId="637BE007" w14:textId="77777777" w:rsidR="00B56C50" w:rsidRPr="00150F58" w:rsidRDefault="00B56C50" w:rsidP="00141F8D">
      <w:pPr>
        <w:spacing w:line="480" w:lineRule="auto"/>
        <w:ind w:firstLine="720"/>
        <w:rPr>
          <w:rFonts w:ascii="Times New Roman" w:hAnsi="Times New Roman" w:cs="Times New Roman"/>
        </w:rPr>
      </w:pPr>
      <w:r w:rsidRPr="00150F58">
        <w:rPr>
          <w:rFonts w:ascii="Times New Roman" w:hAnsi="Times New Roman" w:cs="Times New Roman"/>
        </w:rPr>
        <w:t>An indexed, on-demand imaging library within a flipped-lab structure operationalizes these principles. By preserving lab time for coached refinement and reducing redundancy in foundational modeling, the approach strengthens the conditions under which procedural fluency develops prior to clinical placement.</w:t>
      </w:r>
    </w:p>
    <w:p w14:paraId="350DB44D" w14:textId="77777777" w:rsidR="00B56C50" w:rsidRPr="00150F58" w:rsidRDefault="00B56C50" w:rsidP="00DA4F98">
      <w:pPr>
        <w:spacing w:line="480" w:lineRule="auto"/>
        <w:jc w:val="center"/>
        <w:rPr>
          <w:rFonts w:ascii="Times New Roman" w:hAnsi="Times New Roman" w:cs="Times New Roman"/>
          <w:b/>
          <w:bCs/>
        </w:rPr>
      </w:pPr>
      <w:r w:rsidRPr="00150F58">
        <w:rPr>
          <w:rFonts w:ascii="Times New Roman" w:hAnsi="Times New Roman" w:cs="Times New Roman"/>
          <w:b/>
          <w:bCs/>
        </w:rPr>
        <w:lastRenderedPageBreak/>
        <w:t>References</w:t>
      </w:r>
    </w:p>
    <w:p w14:paraId="236607FA" w14:textId="28D6E6C4"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 xml:space="preserve">Chen, F., Lui, A. M., &amp; Martinelli, S. M. (2017). A systematic review of the effectiveness of </w:t>
      </w:r>
      <w:r w:rsidR="00220167" w:rsidRPr="00150F58">
        <w:rPr>
          <w:rFonts w:ascii="Times New Roman" w:hAnsi="Times New Roman" w:cs="Times New Roman"/>
        </w:rPr>
        <w:br/>
        <w:t xml:space="preserve">          </w:t>
      </w:r>
      <w:r w:rsidRPr="00150F58">
        <w:rPr>
          <w:rFonts w:ascii="Times New Roman" w:hAnsi="Times New Roman" w:cs="Times New Roman"/>
        </w:rPr>
        <w:t xml:space="preserve">flipped classrooms in medical education. </w:t>
      </w:r>
      <w:r w:rsidRPr="00150F58">
        <w:rPr>
          <w:rFonts w:ascii="Times New Roman" w:hAnsi="Times New Roman" w:cs="Times New Roman"/>
          <w:i/>
          <w:iCs/>
        </w:rPr>
        <w:t>Medical Education, 51</w:t>
      </w:r>
      <w:r w:rsidRPr="00150F58">
        <w:rPr>
          <w:rFonts w:ascii="Times New Roman" w:hAnsi="Times New Roman" w:cs="Times New Roman"/>
        </w:rPr>
        <w:t>(6), 585–597.</w:t>
      </w:r>
      <w:r w:rsidR="00220167" w:rsidRPr="00150F58">
        <w:rPr>
          <w:rFonts w:ascii="Times New Roman" w:hAnsi="Times New Roman" w:cs="Times New Roman"/>
        </w:rPr>
        <w:br/>
        <w:t xml:space="preserve">          </w:t>
      </w:r>
      <w:r w:rsidRPr="00150F58">
        <w:rPr>
          <w:rFonts w:ascii="Times New Roman" w:hAnsi="Times New Roman" w:cs="Times New Roman"/>
        </w:rPr>
        <w:t>https://doi.org/10.1111/medu.13272</w:t>
      </w:r>
    </w:p>
    <w:p w14:paraId="1C4CD2F8" w14:textId="450E83CD"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Custer, T., Wampler, K., Lambing, L., Sayles, H., &amp; Michael, K. (2022). Lecture, online, flipped,</w:t>
      </w:r>
      <w:r w:rsidR="00B87A8A" w:rsidRPr="00150F58">
        <w:rPr>
          <w:rFonts w:ascii="Times New Roman" w:hAnsi="Times New Roman" w:cs="Times New Roman"/>
        </w:rPr>
        <w:br/>
        <w:t xml:space="preserve">          </w:t>
      </w:r>
      <w:r w:rsidRPr="00150F58">
        <w:rPr>
          <w:rFonts w:ascii="Times New Roman" w:hAnsi="Times New Roman" w:cs="Times New Roman"/>
        </w:rPr>
        <w:t>and blended: A mixed-methods study on ultrasound student outcomes and perceptions.</w:t>
      </w:r>
      <w:r w:rsidR="00B87A8A" w:rsidRPr="00150F58">
        <w:rPr>
          <w:rFonts w:ascii="Times New Roman" w:hAnsi="Times New Roman" w:cs="Times New Roman"/>
        </w:rPr>
        <w:br/>
      </w:r>
      <w:r w:rsidR="00B87A8A" w:rsidRPr="00150F58">
        <w:rPr>
          <w:rFonts w:ascii="Times New Roman" w:hAnsi="Times New Roman" w:cs="Times New Roman"/>
          <w:i/>
          <w:iCs/>
        </w:rPr>
        <w:t xml:space="preserve">          </w:t>
      </w:r>
      <w:r w:rsidRPr="00150F58">
        <w:rPr>
          <w:rFonts w:ascii="Times New Roman" w:hAnsi="Times New Roman" w:cs="Times New Roman"/>
          <w:i/>
          <w:iCs/>
        </w:rPr>
        <w:t>Journal of Diagnostic Medical Sonography, 38</w:t>
      </w:r>
      <w:r w:rsidRPr="00150F58">
        <w:rPr>
          <w:rFonts w:ascii="Times New Roman" w:hAnsi="Times New Roman" w:cs="Times New Roman"/>
        </w:rPr>
        <w:t xml:space="preserve">(6), 560–569. </w:t>
      </w:r>
      <w:r w:rsidR="00B87A8A" w:rsidRPr="00150F58">
        <w:rPr>
          <w:rFonts w:ascii="Times New Roman" w:hAnsi="Times New Roman" w:cs="Times New Roman"/>
        </w:rPr>
        <w:br/>
        <w:t xml:space="preserve">          </w:t>
      </w:r>
      <w:r w:rsidRPr="00150F58">
        <w:rPr>
          <w:rFonts w:ascii="Times New Roman" w:hAnsi="Times New Roman" w:cs="Times New Roman"/>
        </w:rPr>
        <w:t>https://doi.org/10.1177/87564793221106781</w:t>
      </w:r>
    </w:p>
    <w:p w14:paraId="4A464311" w14:textId="46FF8476"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Doyle, J., Petkovic, K., &amp; Rogers, G. (2019). Flipped classroom improves student learning in</w:t>
      </w:r>
      <w:r w:rsidR="00B87A8A" w:rsidRPr="00150F58">
        <w:rPr>
          <w:rFonts w:ascii="Times New Roman" w:hAnsi="Times New Roman" w:cs="Times New Roman"/>
        </w:rPr>
        <w:br/>
        <w:t xml:space="preserve">          </w:t>
      </w:r>
      <w:r w:rsidRPr="00150F58">
        <w:rPr>
          <w:rFonts w:ascii="Times New Roman" w:hAnsi="Times New Roman" w:cs="Times New Roman"/>
        </w:rPr>
        <w:t xml:space="preserve">health professions education: A meta-analysis. </w:t>
      </w:r>
      <w:r w:rsidRPr="00150F58">
        <w:rPr>
          <w:rFonts w:ascii="Times New Roman" w:hAnsi="Times New Roman" w:cs="Times New Roman"/>
          <w:i/>
          <w:iCs/>
        </w:rPr>
        <w:t>BMC Medical Education, 19</w:t>
      </w:r>
      <w:r w:rsidRPr="00150F58">
        <w:rPr>
          <w:rFonts w:ascii="Times New Roman" w:hAnsi="Times New Roman" w:cs="Times New Roman"/>
        </w:rPr>
        <w:t>, 1–12.</w:t>
      </w:r>
      <w:r w:rsidR="00B87A8A" w:rsidRPr="00150F58">
        <w:rPr>
          <w:rFonts w:ascii="Times New Roman" w:hAnsi="Times New Roman" w:cs="Times New Roman"/>
        </w:rPr>
        <w:br/>
        <w:t xml:space="preserve">          </w:t>
      </w:r>
      <w:hyperlink r:id="rId7" w:history="1">
        <w:r w:rsidRPr="00150F58">
          <w:rPr>
            <w:rStyle w:val="Hyperlink"/>
            <w:rFonts w:ascii="Times New Roman" w:hAnsi="Times New Roman" w:cs="Times New Roman"/>
          </w:rPr>
          <w:t>https://doi.org/10.1186/s12909-019-1535-8</w:t>
        </w:r>
      </w:hyperlink>
    </w:p>
    <w:p w14:paraId="0487CE41" w14:textId="726DC955"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Ericsson, K. A. (2004). Deliberate practice and the acquisition and maintenance of expert</w:t>
      </w:r>
      <w:r w:rsidR="00B87A8A" w:rsidRPr="00150F58">
        <w:rPr>
          <w:rFonts w:ascii="Times New Roman" w:hAnsi="Times New Roman" w:cs="Times New Roman"/>
        </w:rPr>
        <w:br/>
        <w:t xml:space="preserve">          </w:t>
      </w:r>
      <w:r w:rsidRPr="00150F58">
        <w:rPr>
          <w:rFonts w:ascii="Times New Roman" w:hAnsi="Times New Roman" w:cs="Times New Roman"/>
        </w:rPr>
        <w:t xml:space="preserve">performance in medicine and related domains. </w:t>
      </w:r>
      <w:r w:rsidRPr="00150F58">
        <w:rPr>
          <w:rFonts w:ascii="Times New Roman" w:hAnsi="Times New Roman" w:cs="Times New Roman"/>
          <w:i/>
          <w:iCs/>
        </w:rPr>
        <w:t>Academic Medicine, 79</w:t>
      </w:r>
      <w:r w:rsidRPr="00150F58">
        <w:rPr>
          <w:rFonts w:ascii="Times New Roman" w:hAnsi="Times New Roman" w:cs="Times New Roman"/>
        </w:rPr>
        <w:t>(10), S70–S81.</w:t>
      </w:r>
      <w:r w:rsidR="00A86FB0" w:rsidRPr="00150F58">
        <w:rPr>
          <w:rFonts w:ascii="Times New Roman" w:hAnsi="Times New Roman" w:cs="Times New Roman"/>
        </w:rPr>
        <w:br/>
        <w:t xml:space="preserve">          </w:t>
      </w:r>
      <w:r w:rsidRPr="00150F58">
        <w:rPr>
          <w:rFonts w:ascii="Times New Roman" w:hAnsi="Times New Roman" w:cs="Times New Roman"/>
        </w:rPr>
        <w:t>https://doi.org/10.1097/00001888-200410001-00022</w:t>
      </w:r>
    </w:p>
    <w:p w14:paraId="69003661" w14:textId="4F8F14CF"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 xml:space="preserve">Hattie, J., &amp; Timperley, H. (2007). The power of feedback. </w:t>
      </w:r>
      <w:r w:rsidRPr="00150F58">
        <w:rPr>
          <w:rFonts w:ascii="Times New Roman" w:hAnsi="Times New Roman" w:cs="Times New Roman"/>
          <w:i/>
          <w:iCs/>
        </w:rPr>
        <w:t>Review of Educational Research,</w:t>
      </w:r>
      <w:r w:rsidR="00123DED" w:rsidRPr="00150F58">
        <w:rPr>
          <w:rFonts w:ascii="Times New Roman" w:hAnsi="Times New Roman" w:cs="Times New Roman"/>
          <w:i/>
          <w:iCs/>
        </w:rPr>
        <w:br/>
        <w:t xml:space="preserve">          </w:t>
      </w:r>
      <w:r w:rsidRPr="00150F58">
        <w:rPr>
          <w:rFonts w:ascii="Times New Roman" w:hAnsi="Times New Roman" w:cs="Times New Roman"/>
          <w:i/>
          <w:iCs/>
        </w:rPr>
        <w:t>77</w:t>
      </w:r>
      <w:r w:rsidRPr="00150F58">
        <w:rPr>
          <w:rFonts w:ascii="Times New Roman" w:hAnsi="Times New Roman" w:cs="Times New Roman"/>
        </w:rPr>
        <w:t xml:space="preserve">(1), 81–112. </w:t>
      </w:r>
      <w:hyperlink r:id="rId8" w:history="1">
        <w:r w:rsidRPr="00150F58">
          <w:rPr>
            <w:rStyle w:val="Hyperlink"/>
            <w:rFonts w:ascii="Times New Roman" w:hAnsi="Times New Roman" w:cs="Times New Roman"/>
          </w:rPr>
          <w:t>https://doi.org/10.3102/003465430298487</w:t>
        </w:r>
      </w:hyperlink>
    </w:p>
    <w:p w14:paraId="48330BDE" w14:textId="14365520"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Huang, J., Jaffe, R., &amp; Tang, A. (2009). An evaluation of three tutorial-creating software</w:t>
      </w:r>
      <w:r w:rsidR="00B50B16" w:rsidRPr="00150F58">
        <w:rPr>
          <w:rFonts w:ascii="Times New Roman" w:hAnsi="Times New Roman" w:cs="Times New Roman"/>
        </w:rPr>
        <w:br/>
        <w:t xml:space="preserve">          </w:t>
      </w:r>
      <w:r w:rsidRPr="00150F58">
        <w:rPr>
          <w:rFonts w:ascii="Times New Roman" w:hAnsi="Times New Roman" w:cs="Times New Roman"/>
        </w:rPr>
        <w:t xml:space="preserve">programs: Camtasia, PowerPoint, and MediaSite. </w:t>
      </w:r>
      <w:r w:rsidRPr="00150F58">
        <w:rPr>
          <w:rFonts w:ascii="Times New Roman" w:hAnsi="Times New Roman" w:cs="Times New Roman"/>
          <w:i/>
          <w:iCs/>
        </w:rPr>
        <w:t>Journal of Electronic Resources in</w:t>
      </w:r>
      <w:r w:rsidR="00B50B16" w:rsidRPr="00150F58">
        <w:rPr>
          <w:rFonts w:ascii="Times New Roman" w:hAnsi="Times New Roman" w:cs="Times New Roman"/>
          <w:i/>
          <w:iCs/>
        </w:rPr>
        <w:br/>
        <w:t xml:space="preserve">          </w:t>
      </w:r>
      <w:r w:rsidRPr="00150F58">
        <w:rPr>
          <w:rFonts w:ascii="Times New Roman" w:hAnsi="Times New Roman" w:cs="Times New Roman"/>
          <w:i/>
          <w:iCs/>
        </w:rPr>
        <w:t>Medical Libraries, 6</w:t>
      </w:r>
      <w:r w:rsidRPr="00150F58">
        <w:rPr>
          <w:rFonts w:ascii="Times New Roman" w:hAnsi="Times New Roman" w:cs="Times New Roman"/>
        </w:rPr>
        <w:t xml:space="preserve">(1), 1–7. </w:t>
      </w:r>
      <w:hyperlink r:id="rId9" w:history="1">
        <w:r w:rsidRPr="00150F58">
          <w:rPr>
            <w:rStyle w:val="Hyperlink"/>
            <w:rFonts w:ascii="Times New Roman" w:hAnsi="Times New Roman" w:cs="Times New Roman"/>
          </w:rPr>
          <w:t>https://doi.org/10.1080/15424060802705095</w:t>
        </w:r>
      </w:hyperlink>
    </w:p>
    <w:p w14:paraId="695B1B50" w14:textId="7483A2AD"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lastRenderedPageBreak/>
        <w:t>Jensen, J. L., Kummer, T. A., &amp; Godoy, P. D. M. (2015). Improvements from a flipped classroom</w:t>
      </w:r>
      <w:r w:rsidR="00B50B16" w:rsidRPr="00150F58">
        <w:rPr>
          <w:rFonts w:ascii="Times New Roman" w:hAnsi="Times New Roman" w:cs="Times New Roman"/>
        </w:rPr>
        <w:br/>
        <w:t xml:space="preserve">          </w:t>
      </w:r>
      <w:r w:rsidRPr="00150F58">
        <w:rPr>
          <w:rFonts w:ascii="Times New Roman" w:hAnsi="Times New Roman" w:cs="Times New Roman"/>
        </w:rPr>
        <w:t xml:space="preserve">may simply be the fruits of active learning. </w:t>
      </w:r>
      <w:r w:rsidRPr="00150F58">
        <w:rPr>
          <w:rFonts w:ascii="Times New Roman" w:hAnsi="Times New Roman" w:cs="Times New Roman"/>
          <w:i/>
          <w:iCs/>
        </w:rPr>
        <w:t>CBE—Life Sciences Education, 14</w:t>
      </w:r>
      <w:r w:rsidRPr="00150F58">
        <w:rPr>
          <w:rFonts w:ascii="Times New Roman" w:hAnsi="Times New Roman" w:cs="Times New Roman"/>
        </w:rPr>
        <w:t>(1), 1–12.</w:t>
      </w:r>
      <w:r w:rsidR="00B50B16" w:rsidRPr="00150F58">
        <w:rPr>
          <w:rFonts w:ascii="Times New Roman" w:hAnsi="Times New Roman" w:cs="Times New Roman"/>
        </w:rPr>
        <w:br/>
        <w:t xml:space="preserve">          </w:t>
      </w:r>
      <w:hyperlink r:id="rId10" w:history="1">
        <w:r w:rsidRPr="00150F58">
          <w:rPr>
            <w:rStyle w:val="Hyperlink"/>
            <w:rFonts w:ascii="Times New Roman" w:hAnsi="Times New Roman" w:cs="Times New Roman"/>
          </w:rPr>
          <w:t>https://doi.org/10.1187/cbe.14-08-0129</w:t>
        </w:r>
      </w:hyperlink>
    </w:p>
    <w:p w14:paraId="6733B9D5" w14:textId="77777777"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 xml:space="preserve">Mayer, R. E. (2009). </w:t>
      </w:r>
      <w:r w:rsidRPr="00150F58">
        <w:rPr>
          <w:rFonts w:ascii="Times New Roman" w:hAnsi="Times New Roman" w:cs="Times New Roman"/>
          <w:i/>
          <w:iCs/>
        </w:rPr>
        <w:t>Multimedia learning</w:t>
      </w:r>
      <w:r w:rsidRPr="00150F58">
        <w:rPr>
          <w:rFonts w:ascii="Times New Roman" w:hAnsi="Times New Roman" w:cs="Times New Roman"/>
        </w:rPr>
        <w:t xml:space="preserve"> (2nd ed.). Cambridge University Press.</w:t>
      </w:r>
    </w:p>
    <w:p w14:paraId="466CFE30" w14:textId="58C854E8"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 xml:space="preserve">McCoy, C. E., Rahman, A., Rendon, J. C., Anderson, C. L., Langdorf, M. I., &amp; </w:t>
      </w:r>
      <w:proofErr w:type="spellStart"/>
      <w:r w:rsidRPr="00150F58">
        <w:rPr>
          <w:rFonts w:ascii="Times New Roman" w:hAnsi="Times New Roman" w:cs="Times New Roman"/>
        </w:rPr>
        <w:t>Lotfipour</w:t>
      </w:r>
      <w:proofErr w:type="spellEnd"/>
      <w:r w:rsidRPr="00150F58">
        <w:rPr>
          <w:rFonts w:ascii="Times New Roman" w:hAnsi="Times New Roman" w:cs="Times New Roman"/>
        </w:rPr>
        <w:t>, S.</w:t>
      </w:r>
      <w:r w:rsidR="0010193A" w:rsidRPr="00150F58">
        <w:rPr>
          <w:rFonts w:ascii="Times New Roman" w:hAnsi="Times New Roman" w:cs="Times New Roman"/>
        </w:rPr>
        <w:br/>
        <w:t xml:space="preserve">       </w:t>
      </w:r>
      <w:proofErr w:type="gramStart"/>
      <w:r w:rsidR="0010193A" w:rsidRPr="00150F58">
        <w:rPr>
          <w:rFonts w:ascii="Times New Roman" w:hAnsi="Times New Roman" w:cs="Times New Roman"/>
        </w:rPr>
        <w:t xml:space="preserve">   </w:t>
      </w:r>
      <w:r w:rsidRPr="00150F58">
        <w:rPr>
          <w:rFonts w:ascii="Times New Roman" w:hAnsi="Times New Roman" w:cs="Times New Roman"/>
        </w:rPr>
        <w:t>(</w:t>
      </w:r>
      <w:proofErr w:type="gramEnd"/>
      <w:r w:rsidRPr="00150F58">
        <w:rPr>
          <w:rFonts w:ascii="Times New Roman" w:hAnsi="Times New Roman" w:cs="Times New Roman"/>
        </w:rPr>
        <w:t>2015). Randomized controlled trial of video-assisted versus traditional lectures for</w:t>
      </w:r>
      <w:r w:rsidR="0010193A" w:rsidRPr="00150F58">
        <w:rPr>
          <w:rFonts w:ascii="Times New Roman" w:hAnsi="Times New Roman" w:cs="Times New Roman"/>
        </w:rPr>
        <w:br/>
        <w:t xml:space="preserve">          </w:t>
      </w:r>
      <w:r w:rsidRPr="00150F58">
        <w:rPr>
          <w:rFonts w:ascii="Times New Roman" w:hAnsi="Times New Roman" w:cs="Times New Roman"/>
        </w:rPr>
        <w:t xml:space="preserve">medical students in ultrasound education. </w:t>
      </w:r>
      <w:r w:rsidRPr="00150F58">
        <w:rPr>
          <w:rFonts w:ascii="Times New Roman" w:hAnsi="Times New Roman" w:cs="Times New Roman"/>
          <w:i/>
          <w:iCs/>
        </w:rPr>
        <w:t>Medical Education, 49</w:t>
      </w:r>
      <w:r w:rsidRPr="00150F58">
        <w:rPr>
          <w:rFonts w:ascii="Times New Roman" w:hAnsi="Times New Roman" w:cs="Times New Roman"/>
        </w:rPr>
        <w:t>(12), 1199–1208.</w:t>
      </w:r>
      <w:r w:rsidR="0010193A" w:rsidRPr="00150F58">
        <w:rPr>
          <w:rFonts w:ascii="Times New Roman" w:hAnsi="Times New Roman" w:cs="Times New Roman"/>
        </w:rPr>
        <w:br/>
        <w:t xml:space="preserve">          </w:t>
      </w:r>
      <w:hyperlink r:id="rId11" w:history="1">
        <w:r w:rsidRPr="00150F58">
          <w:rPr>
            <w:rStyle w:val="Hyperlink"/>
            <w:rFonts w:ascii="Times New Roman" w:hAnsi="Times New Roman" w:cs="Times New Roman"/>
          </w:rPr>
          <w:t>https://doi.org/10.1111/medu.12848</w:t>
        </w:r>
      </w:hyperlink>
    </w:p>
    <w:p w14:paraId="5E606129" w14:textId="200F16DF"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Roediger, H. L., III, &amp; Karpicke, J. D. (2006a). Test-enhanced learning: Taking memory tests</w:t>
      </w:r>
      <w:r w:rsidR="0009605E" w:rsidRPr="00150F58">
        <w:rPr>
          <w:rFonts w:ascii="Times New Roman" w:hAnsi="Times New Roman" w:cs="Times New Roman"/>
        </w:rPr>
        <w:br/>
        <w:t xml:space="preserve">          </w:t>
      </w:r>
      <w:r w:rsidRPr="00150F58">
        <w:rPr>
          <w:rFonts w:ascii="Times New Roman" w:hAnsi="Times New Roman" w:cs="Times New Roman"/>
        </w:rPr>
        <w:t xml:space="preserve">improves long-term retention. </w:t>
      </w:r>
      <w:r w:rsidRPr="00150F58">
        <w:rPr>
          <w:rFonts w:ascii="Times New Roman" w:hAnsi="Times New Roman" w:cs="Times New Roman"/>
          <w:i/>
          <w:iCs/>
        </w:rPr>
        <w:t>Psychological Science, 17</w:t>
      </w:r>
      <w:r w:rsidRPr="00150F58">
        <w:rPr>
          <w:rFonts w:ascii="Times New Roman" w:hAnsi="Times New Roman" w:cs="Times New Roman"/>
        </w:rPr>
        <w:t>(3), 249–255.</w:t>
      </w:r>
      <w:r w:rsidR="0009605E" w:rsidRPr="00150F58">
        <w:rPr>
          <w:rFonts w:ascii="Times New Roman" w:hAnsi="Times New Roman" w:cs="Times New Roman"/>
        </w:rPr>
        <w:br/>
        <w:t xml:space="preserve">          </w:t>
      </w:r>
      <w:r w:rsidRPr="00150F58">
        <w:rPr>
          <w:rFonts w:ascii="Times New Roman" w:hAnsi="Times New Roman" w:cs="Times New Roman"/>
        </w:rPr>
        <w:t>https://doi.org/10.1111/j.1467-9280.2006.01693.x</w:t>
      </w:r>
    </w:p>
    <w:p w14:paraId="327C470D" w14:textId="4C57E8F8"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Roediger, H. L., III, &amp; Karpicke, J. D. (2006b). The power of testing memory: Basic research</w:t>
      </w:r>
      <w:r w:rsidR="0009605E" w:rsidRPr="00150F58">
        <w:rPr>
          <w:rFonts w:ascii="Times New Roman" w:hAnsi="Times New Roman" w:cs="Times New Roman"/>
        </w:rPr>
        <w:br/>
        <w:t xml:space="preserve">          </w:t>
      </w:r>
      <w:r w:rsidRPr="00150F58">
        <w:rPr>
          <w:rFonts w:ascii="Times New Roman" w:hAnsi="Times New Roman" w:cs="Times New Roman"/>
        </w:rPr>
        <w:t xml:space="preserve">and implications for educational practice. </w:t>
      </w:r>
      <w:r w:rsidRPr="00150F58">
        <w:rPr>
          <w:rFonts w:ascii="Times New Roman" w:hAnsi="Times New Roman" w:cs="Times New Roman"/>
          <w:i/>
          <w:iCs/>
        </w:rPr>
        <w:t>Perspectives on Psychological Science, 1</w:t>
      </w:r>
      <w:r w:rsidRPr="00150F58">
        <w:rPr>
          <w:rFonts w:ascii="Times New Roman" w:hAnsi="Times New Roman" w:cs="Times New Roman"/>
        </w:rPr>
        <w:t>(3),</w:t>
      </w:r>
      <w:r w:rsidR="007A134E" w:rsidRPr="00150F58">
        <w:rPr>
          <w:rFonts w:ascii="Times New Roman" w:hAnsi="Times New Roman" w:cs="Times New Roman"/>
        </w:rPr>
        <w:br/>
        <w:t xml:space="preserve">          </w:t>
      </w:r>
      <w:r w:rsidRPr="00150F58">
        <w:rPr>
          <w:rFonts w:ascii="Times New Roman" w:hAnsi="Times New Roman" w:cs="Times New Roman"/>
        </w:rPr>
        <w:t xml:space="preserve">181–210. </w:t>
      </w:r>
      <w:hyperlink r:id="rId12" w:history="1">
        <w:r w:rsidRPr="00150F58">
          <w:rPr>
            <w:rStyle w:val="Hyperlink"/>
            <w:rFonts w:ascii="Times New Roman" w:hAnsi="Times New Roman" w:cs="Times New Roman"/>
          </w:rPr>
          <w:t>https://doi.org/10.1111/j.1745-6916.2006.00012.x</w:t>
        </w:r>
      </w:hyperlink>
    </w:p>
    <w:p w14:paraId="64BE7970" w14:textId="4C7ACC20"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Staal, J., et al. (2023). Deliberate practice of diagnostic clinical reasoning reveals low</w:t>
      </w:r>
      <w:r w:rsidR="006A6E70" w:rsidRPr="00150F58">
        <w:rPr>
          <w:rFonts w:ascii="Times New Roman" w:hAnsi="Times New Roman" w:cs="Times New Roman"/>
        </w:rPr>
        <w:br/>
        <w:t xml:space="preserve">          </w:t>
      </w:r>
      <w:r w:rsidRPr="00150F58">
        <w:rPr>
          <w:rFonts w:ascii="Times New Roman" w:hAnsi="Times New Roman" w:cs="Times New Roman"/>
        </w:rPr>
        <w:t xml:space="preserve">performance and improvement of diagnostic justification in pre-clerkship students. </w:t>
      </w:r>
      <w:r w:rsidRPr="00150F58">
        <w:rPr>
          <w:rFonts w:ascii="Times New Roman" w:hAnsi="Times New Roman" w:cs="Times New Roman"/>
          <w:i/>
          <w:iCs/>
        </w:rPr>
        <w:t>BMC</w:t>
      </w:r>
      <w:r w:rsidR="006A6E70" w:rsidRPr="00150F58">
        <w:rPr>
          <w:rFonts w:ascii="Times New Roman" w:hAnsi="Times New Roman" w:cs="Times New Roman"/>
          <w:i/>
          <w:iCs/>
        </w:rPr>
        <w:br/>
        <w:t xml:space="preserve">          </w:t>
      </w:r>
      <w:r w:rsidRPr="00150F58">
        <w:rPr>
          <w:rFonts w:ascii="Times New Roman" w:hAnsi="Times New Roman" w:cs="Times New Roman"/>
          <w:i/>
          <w:iCs/>
        </w:rPr>
        <w:t>Medical Education, 23</w:t>
      </w:r>
      <w:r w:rsidRPr="00150F58">
        <w:rPr>
          <w:rFonts w:ascii="Times New Roman" w:hAnsi="Times New Roman" w:cs="Times New Roman"/>
        </w:rPr>
        <w:t>, 1–10.</w:t>
      </w:r>
    </w:p>
    <w:p w14:paraId="7A45B4F8" w14:textId="11462032"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Strelan, P., Osborn, A., &amp; Palmer, E. (2018). The flipped classroom: A meta-analysis of effects</w:t>
      </w:r>
      <w:r w:rsidR="006A6E70" w:rsidRPr="00150F58">
        <w:rPr>
          <w:rFonts w:ascii="Times New Roman" w:hAnsi="Times New Roman" w:cs="Times New Roman"/>
        </w:rPr>
        <w:br/>
      </w:r>
      <w:r w:rsidR="009E317C" w:rsidRPr="00150F58">
        <w:rPr>
          <w:rFonts w:ascii="Times New Roman" w:hAnsi="Times New Roman" w:cs="Times New Roman"/>
        </w:rPr>
        <w:t xml:space="preserve">          </w:t>
      </w:r>
      <w:r w:rsidRPr="00150F58">
        <w:rPr>
          <w:rFonts w:ascii="Times New Roman" w:hAnsi="Times New Roman" w:cs="Times New Roman"/>
        </w:rPr>
        <w:t xml:space="preserve">on student performance across disciplines. </w:t>
      </w:r>
      <w:r w:rsidRPr="00150F58">
        <w:rPr>
          <w:rFonts w:ascii="Times New Roman" w:hAnsi="Times New Roman" w:cs="Times New Roman"/>
          <w:i/>
          <w:iCs/>
        </w:rPr>
        <w:t>Educational Research Review, 24</w:t>
      </w:r>
      <w:r w:rsidRPr="00150F58">
        <w:rPr>
          <w:rFonts w:ascii="Times New Roman" w:hAnsi="Times New Roman" w:cs="Times New Roman"/>
        </w:rPr>
        <w:t>, 1–15.</w:t>
      </w:r>
      <w:r w:rsidR="009E317C" w:rsidRPr="00150F58">
        <w:rPr>
          <w:rFonts w:ascii="Times New Roman" w:hAnsi="Times New Roman" w:cs="Times New Roman"/>
        </w:rPr>
        <w:br/>
        <w:t xml:space="preserve">          </w:t>
      </w:r>
      <w:hyperlink r:id="rId13" w:history="1">
        <w:r w:rsidRPr="00150F58">
          <w:rPr>
            <w:rStyle w:val="Hyperlink"/>
            <w:rFonts w:ascii="Times New Roman" w:hAnsi="Times New Roman" w:cs="Times New Roman"/>
          </w:rPr>
          <w:t>https://doi.org/10.1016/j.edurev.2018.01.003</w:t>
        </w:r>
      </w:hyperlink>
    </w:p>
    <w:p w14:paraId="5F3C94E3" w14:textId="565A00E7" w:rsidR="00B56C50"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lastRenderedPageBreak/>
        <w:t xml:space="preserve">Sweller, J. (1988). Cognitive load during problem solving: Effects on learning. </w:t>
      </w:r>
      <w:r w:rsidRPr="00150F58">
        <w:rPr>
          <w:rFonts w:ascii="Times New Roman" w:hAnsi="Times New Roman" w:cs="Times New Roman"/>
          <w:i/>
          <w:iCs/>
        </w:rPr>
        <w:t>Cognitive</w:t>
      </w:r>
      <w:r w:rsidR="009E317C" w:rsidRPr="00150F58">
        <w:rPr>
          <w:rFonts w:ascii="Times New Roman" w:hAnsi="Times New Roman" w:cs="Times New Roman"/>
          <w:i/>
          <w:iCs/>
        </w:rPr>
        <w:br/>
      </w:r>
      <w:r w:rsidR="00A84F68" w:rsidRPr="00150F58">
        <w:rPr>
          <w:rFonts w:ascii="Times New Roman" w:hAnsi="Times New Roman" w:cs="Times New Roman"/>
          <w:i/>
          <w:iCs/>
        </w:rPr>
        <w:t xml:space="preserve">          </w:t>
      </w:r>
      <w:r w:rsidRPr="00150F58">
        <w:rPr>
          <w:rFonts w:ascii="Times New Roman" w:hAnsi="Times New Roman" w:cs="Times New Roman"/>
          <w:i/>
          <w:iCs/>
        </w:rPr>
        <w:t>Science, 12</w:t>
      </w:r>
      <w:r w:rsidRPr="00150F58">
        <w:rPr>
          <w:rFonts w:ascii="Times New Roman" w:hAnsi="Times New Roman" w:cs="Times New Roman"/>
        </w:rPr>
        <w:t xml:space="preserve">(2), 257–285. </w:t>
      </w:r>
      <w:hyperlink r:id="rId14" w:history="1">
        <w:r w:rsidRPr="00150F58">
          <w:rPr>
            <w:rStyle w:val="Hyperlink"/>
            <w:rFonts w:ascii="Times New Roman" w:hAnsi="Times New Roman" w:cs="Times New Roman"/>
          </w:rPr>
          <w:t>https://doi.org/10.1207/s15516709cog1202_4</w:t>
        </w:r>
      </w:hyperlink>
    </w:p>
    <w:p w14:paraId="6290A1FE" w14:textId="233C5B6C" w:rsidR="000510C7" w:rsidRPr="00150F58" w:rsidRDefault="00B56C50" w:rsidP="00B56C50">
      <w:pPr>
        <w:spacing w:line="480" w:lineRule="auto"/>
        <w:rPr>
          <w:rFonts w:ascii="Times New Roman" w:hAnsi="Times New Roman" w:cs="Times New Roman"/>
        </w:rPr>
      </w:pPr>
      <w:r w:rsidRPr="00150F58">
        <w:rPr>
          <w:rFonts w:ascii="Times New Roman" w:hAnsi="Times New Roman" w:cs="Times New Roman"/>
        </w:rPr>
        <w:t>Tartari, E., et al. (2017). Cost-effectiveness of mobile app–guided training in extended focused</w:t>
      </w:r>
      <w:r w:rsidR="00A84F68" w:rsidRPr="00150F58">
        <w:rPr>
          <w:rFonts w:ascii="Times New Roman" w:hAnsi="Times New Roman" w:cs="Times New Roman"/>
        </w:rPr>
        <w:br/>
        <w:t xml:space="preserve">          </w:t>
      </w:r>
      <w:r w:rsidRPr="00150F58">
        <w:rPr>
          <w:rFonts w:ascii="Times New Roman" w:hAnsi="Times New Roman" w:cs="Times New Roman"/>
        </w:rPr>
        <w:t xml:space="preserve">assessment with sonography for trauma (eFAST): A randomized trial. </w:t>
      </w:r>
      <w:r w:rsidRPr="00150F58">
        <w:rPr>
          <w:rFonts w:ascii="Times New Roman" w:hAnsi="Times New Roman" w:cs="Times New Roman"/>
          <w:i/>
          <w:iCs/>
        </w:rPr>
        <w:t xml:space="preserve">Journal of </w:t>
      </w:r>
      <w:r w:rsidR="00A84F68" w:rsidRPr="00150F58">
        <w:rPr>
          <w:rFonts w:ascii="Times New Roman" w:hAnsi="Times New Roman" w:cs="Times New Roman"/>
          <w:i/>
          <w:iCs/>
        </w:rPr>
        <w:br/>
        <w:t xml:space="preserve">         </w:t>
      </w:r>
      <w:r w:rsidRPr="00150F58">
        <w:rPr>
          <w:rFonts w:ascii="Times New Roman" w:hAnsi="Times New Roman" w:cs="Times New Roman"/>
          <w:i/>
          <w:iCs/>
        </w:rPr>
        <w:t>Ultrasound in Medicine, 36</w:t>
      </w:r>
      <w:r w:rsidRPr="00150F58">
        <w:rPr>
          <w:rFonts w:ascii="Times New Roman" w:hAnsi="Times New Roman" w:cs="Times New Roman"/>
        </w:rPr>
        <w:t xml:space="preserve">(11), 2323–2331. </w:t>
      </w:r>
      <w:hyperlink r:id="rId15" w:history="1">
        <w:r w:rsidRPr="00150F58">
          <w:rPr>
            <w:rStyle w:val="Hyperlink"/>
            <w:rFonts w:ascii="Times New Roman" w:hAnsi="Times New Roman" w:cs="Times New Roman"/>
          </w:rPr>
          <w:t>https://doi.org/10.1002/jum.14256</w:t>
        </w:r>
      </w:hyperlink>
    </w:p>
    <w:sectPr w:rsidR="000510C7" w:rsidRPr="00150F58">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38FF3" w14:textId="77777777" w:rsidR="00090ADD" w:rsidRDefault="00090ADD" w:rsidP="00B56C50">
      <w:pPr>
        <w:spacing w:after="0" w:line="240" w:lineRule="auto"/>
      </w:pPr>
      <w:r>
        <w:separator/>
      </w:r>
    </w:p>
  </w:endnote>
  <w:endnote w:type="continuationSeparator" w:id="0">
    <w:p w14:paraId="61BD55F9" w14:textId="77777777" w:rsidR="00090ADD" w:rsidRDefault="00090ADD" w:rsidP="00B56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E42F" w14:textId="77777777" w:rsidR="00090ADD" w:rsidRDefault="00090ADD" w:rsidP="00B56C50">
      <w:pPr>
        <w:spacing w:after="0" w:line="240" w:lineRule="auto"/>
      </w:pPr>
      <w:r>
        <w:separator/>
      </w:r>
    </w:p>
  </w:footnote>
  <w:footnote w:type="continuationSeparator" w:id="0">
    <w:p w14:paraId="7A79F5C3" w14:textId="77777777" w:rsidR="00090ADD" w:rsidRDefault="00090ADD" w:rsidP="00B56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640217"/>
      <w:docPartObj>
        <w:docPartGallery w:val="Page Numbers (Top of Page)"/>
        <w:docPartUnique/>
      </w:docPartObj>
    </w:sdtPr>
    <w:sdtEndPr>
      <w:rPr>
        <w:noProof/>
      </w:rPr>
    </w:sdtEndPr>
    <w:sdtContent>
      <w:p w14:paraId="5500B444" w14:textId="4C977844" w:rsidR="00B56C50" w:rsidRDefault="00B56C5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2464AA" w14:textId="77777777" w:rsidR="00B56C50" w:rsidRDefault="00B56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87540"/>
    <w:multiLevelType w:val="multilevel"/>
    <w:tmpl w:val="C7B4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801E0"/>
    <w:multiLevelType w:val="multilevel"/>
    <w:tmpl w:val="1C30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005090">
    <w:abstractNumId w:val="1"/>
  </w:num>
  <w:num w:numId="2" w16cid:durableId="142214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50"/>
    <w:rsid w:val="000510C7"/>
    <w:rsid w:val="00090ADD"/>
    <w:rsid w:val="0009605E"/>
    <w:rsid w:val="0010193A"/>
    <w:rsid w:val="00123DED"/>
    <w:rsid w:val="00141F8D"/>
    <w:rsid w:val="00150F58"/>
    <w:rsid w:val="001E6E35"/>
    <w:rsid w:val="00220167"/>
    <w:rsid w:val="00290192"/>
    <w:rsid w:val="002E41A6"/>
    <w:rsid w:val="003C5C06"/>
    <w:rsid w:val="00492315"/>
    <w:rsid w:val="004C61D8"/>
    <w:rsid w:val="00527F45"/>
    <w:rsid w:val="006A6E70"/>
    <w:rsid w:val="006B4C43"/>
    <w:rsid w:val="007213EE"/>
    <w:rsid w:val="007A134E"/>
    <w:rsid w:val="008C1BD0"/>
    <w:rsid w:val="009E317C"/>
    <w:rsid w:val="00A84F68"/>
    <w:rsid w:val="00A86FB0"/>
    <w:rsid w:val="00B50B16"/>
    <w:rsid w:val="00B56C50"/>
    <w:rsid w:val="00B87A8A"/>
    <w:rsid w:val="00BD5F13"/>
    <w:rsid w:val="00C27F20"/>
    <w:rsid w:val="00CB1823"/>
    <w:rsid w:val="00CE7399"/>
    <w:rsid w:val="00DA4F98"/>
    <w:rsid w:val="00DC1D17"/>
    <w:rsid w:val="00DD0F6D"/>
    <w:rsid w:val="00DE1B53"/>
    <w:rsid w:val="00FD6536"/>
    <w:rsid w:val="00FF0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4038"/>
  <w15:chartTrackingRefBased/>
  <w15:docId w15:val="{2ADDDCCF-BC33-439D-9098-08DED883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C50"/>
    <w:rPr>
      <w:rFonts w:eastAsiaTheme="majorEastAsia" w:cstheme="majorBidi"/>
      <w:color w:val="272727" w:themeColor="text1" w:themeTint="D8"/>
    </w:rPr>
  </w:style>
  <w:style w:type="paragraph" w:styleId="Title">
    <w:name w:val="Title"/>
    <w:basedOn w:val="Normal"/>
    <w:next w:val="Normal"/>
    <w:link w:val="TitleChar"/>
    <w:uiPriority w:val="10"/>
    <w:qFormat/>
    <w:rsid w:val="00B56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C50"/>
    <w:pPr>
      <w:spacing w:before="160"/>
      <w:jc w:val="center"/>
    </w:pPr>
    <w:rPr>
      <w:i/>
      <w:iCs/>
      <w:color w:val="404040" w:themeColor="text1" w:themeTint="BF"/>
    </w:rPr>
  </w:style>
  <w:style w:type="character" w:customStyle="1" w:styleId="QuoteChar">
    <w:name w:val="Quote Char"/>
    <w:basedOn w:val="DefaultParagraphFont"/>
    <w:link w:val="Quote"/>
    <w:uiPriority w:val="29"/>
    <w:rsid w:val="00B56C50"/>
    <w:rPr>
      <w:i/>
      <w:iCs/>
      <w:color w:val="404040" w:themeColor="text1" w:themeTint="BF"/>
    </w:rPr>
  </w:style>
  <w:style w:type="paragraph" w:styleId="ListParagraph">
    <w:name w:val="List Paragraph"/>
    <w:basedOn w:val="Normal"/>
    <w:uiPriority w:val="34"/>
    <w:qFormat/>
    <w:rsid w:val="00B56C50"/>
    <w:pPr>
      <w:ind w:left="720"/>
      <w:contextualSpacing/>
    </w:pPr>
  </w:style>
  <w:style w:type="character" w:styleId="IntenseEmphasis">
    <w:name w:val="Intense Emphasis"/>
    <w:basedOn w:val="DefaultParagraphFont"/>
    <w:uiPriority w:val="21"/>
    <w:qFormat/>
    <w:rsid w:val="00B56C50"/>
    <w:rPr>
      <w:i/>
      <w:iCs/>
      <w:color w:val="0F4761" w:themeColor="accent1" w:themeShade="BF"/>
    </w:rPr>
  </w:style>
  <w:style w:type="paragraph" w:styleId="IntenseQuote">
    <w:name w:val="Intense Quote"/>
    <w:basedOn w:val="Normal"/>
    <w:next w:val="Normal"/>
    <w:link w:val="IntenseQuoteChar"/>
    <w:uiPriority w:val="30"/>
    <w:qFormat/>
    <w:rsid w:val="00B56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C50"/>
    <w:rPr>
      <w:i/>
      <w:iCs/>
      <w:color w:val="0F4761" w:themeColor="accent1" w:themeShade="BF"/>
    </w:rPr>
  </w:style>
  <w:style w:type="character" w:styleId="IntenseReference">
    <w:name w:val="Intense Reference"/>
    <w:basedOn w:val="DefaultParagraphFont"/>
    <w:uiPriority w:val="32"/>
    <w:qFormat/>
    <w:rsid w:val="00B56C50"/>
    <w:rPr>
      <w:b/>
      <w:bCs/>
      <w:smallCaps/>
      <w:color w:val="0F4761" w:themeColor="accent1" w:themeShade="BF"/>
      <w:spacing w:val="5"/>
    </w:rPr>
  </w:style>
  <w:style w:type="character" w:styleId="Hyperlink">
    <w:name w:val="Hyperlink"/>
    <w:basedOn w:val="DefaultParagraphFont"/>
    <w:uiPriority w:val="99"/>
    <w:unhideWhenUsed/>
    <w:rsid w:val="00B56C50"/>
    <w:rPr>
      <w:color w:val="467886" w:themeColor="hyperlink"/>
      <w:u w:val="single"/>
    </w:rPr>
  </w:style>
  <w:style w:type="character" w:styleId="UnresolvedMention">
    <w:name w:val="Unresolved Mention"/>
    <w:basedOn w:val="DefaultParagraphFont"/>
    <w:uiPriority w:val="99"/>
    <w:semiHidden/>
    <w:unhideWhenUsed/>
    <w:rsid w:val="00B56C50"/>
    <w:rPr>
      <w:color w:val="605E5C"/>
      <w:shd w:val="clear" w:color="auto" w:fill="E1DFDD"/>
    </w:rPr>
  </w:style>
  <w:style w:type="paragraph" w:styleId="Header">
    <w:name w:val="header"/>
    <w:basedOn w:val="Normal"/>
    <w:link w:val="HeaderChar"/>
    <w:uiPriority w:val="99"/>
    <w:unhideWhenUsed/>
    <w:rsid w:val="00B56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C50"/>
  </w:style>
  <w:style w:type="paragraph" w:styleId="Footer">
    <w:name w:val="footer"/>
    <w:basedOn w:val="Normal"/>
    <w:link w:val="FooterChar"/>
    <w:uiPriority w:val="99"/>
    <w:unhideWhenUsed/>
    <w:rsid w:val="00B56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2/003465430298487" TargetMode="External"/><Relationship Id="rId13" Type="http://schemas.openxmlformats.org/officeDocument/2006/relationships/hyperlink" Target="https://doi.org/10.1016/j.edurev.2018.01.0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86/s12909-019-1535-8" TargetMode="External"/><Relationship Id="rId12" Type="http://schemas.openxmlformats.org/officeDocument/2006/relationships/hyperlink" Target="https://doi.org/10.1111/j.1745-6916.2006.00012.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medu.12848" TargetMode="External"/><Relationship Id="rId5" Type="http://schemas.openxmlformats.org/officeDocument/2006/relationships/footnotes" Target="footnotes.xml"/><Relationship Id="rId15" Type="http://schemas.openxmlformats.org/officeDocument/2006/relationships/hyperlink" Target="https://doi.org/10.1002/jum.14256" TargetMode="External"/><Relationship Id="rId10" Type="http://schemas.openxmlformats.org/officeDocument/2006/relationships/hyperlink" Target="https://doi.org/10.1187/cbe.14-08-0129" TargetMode="External"/><Relationship Id="rId4" Type="http://schemas.openxmlformats.org/officeDocument/2006/relationships/webSettings" Target="webSettings.xml"/><Relationship Id="rId9" Type="http://schemas.openxmlformats.org/officeDocument/2006/relationships/hyperlink" Target="https://doi.org/10.1080/15424060802705095" TargetMode="External"/><Relationship Id="rId14" Type="http://schemas.openxmlformats.org/officeDocument/2006/relationships/hyperlink" Target="https://doi.org/10.1207/s15516709cog1202_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1865</Words>
  <Characters>10634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2</cp:revision>
  <dcterms:created xsi:type="dcterms:W3CDTF">2026-04-24T02:55:00Z</dcterms:created>
  <dcterms:modified xsi:type="dcterms:W3CDTF">2026-04-24T02:55:00Z</dcterms:modified>
</cp:coreProperties>
</file>