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B39AF" w14:textId="77777777" w:rsidR="00D66961" w:rsidRDefault="00D66961" w:rsidP="00D66961">
      <w:pPr>
        <w:jc w:val="center"/>
        <w:rPr>
          <w:rFonts w:ascii="Times New Roman" w:hAnsi="Times New Roman" w:cs="Times New Roman"/>
          <w:b/>
          <w:bCs/>
        </w:rPr>
      </w:pPr>
    </w:p>
    <w:p w14:paraId="159A276B" w14:textId="77777777" w:rsidR="00D66961" w:rsidRDefault="00D66961" w:rsidP="00D66961">
      <w:pPr>
        <w:jc w:val="center"/>
        <w:rPr>
          <w:rFonts w:ascii="Times New Roman" w:hAnsi="Times New Roman" w:cs="Times New Roman"/>
          <w:b/>
          <w:bCs/>
        </w:rPr>
      </w:pPr>
    </w:p>
    <w:p w14:paraId="1731C867" w14:textId="77777777" w:rsidR="00D66961" w:rsidRDefault="00D66961" w:rsidP="00D66961">
      <w:pPr>
        <w:jc w:val="center"/>
        <w:rPr>
          <w:rFonts w:ascii="Times New Roman" w:hAnsi="Times New Roman" w:cs="Times New Roman"/>
          <w:b/>
          <w:bCs/>
        </w:rPr>
      </w:pPr>
    </w:p>
    <w:p w14:paraId="5139F8F7" w14:textId="77777777" w:rsidR="00D66961" w:rsidRDefault="00D66961" w:rsidP="00D66961">
      <w:pPr>
        <w:jc w:val="center"/>
        <w:rPr>
          <w:rFonts w:ascii="Times New Roman" w:hAnsi="Times New Roman" w:cs="Times New Roman"/>
          <w:b/>
          <w:bCs/>
        </w:rPr>
      </w:pPr>
    </w:p>
    <w:p w14:paraId="7E4AAC77" w14:textId="77777777" w:rsidR="00D66961" w:rsidRDefault="00D66961" w:rsidP="00D66961">
      <w:pPr>
        <w:jc w:val="center"/>
        <w:rPr>
          <w:rFonts w:ascii="Times New Roman" w:hAnsi="Times New Roman" w:cs="Times New Roman"/>
          <w:b/>
          <w:bCs/>
        </w:rPr>
      </w:pPr>
    </w:p>
    <w:p w14:paraId="2663A2E2" w14:textId="77777777" w:rsidR="00D66961" w:rsidRDefault="00D66961" w:rsidP="00D66961">
      <w:pPr>
        <w:jc w:val="center"/>
        <w:rPr>
          <w:rFonts w:ascii="Times New Roman" w:hAnsi="Times New Roman" w:cs="Times New Roman"/>
          <w:b/>
          <w:bCs/>
        </w:rPr>
      </w:pPr>
    </w:p>
    <w:p w14:paraId="794791D1" w14:textId="77777777" w:rsidR="00D66961" w:rsidRDefault="00D66961" w:rsidP="00D66961">
      <w:pPr>
        <w:jc w:val="center"/>
        <w:rPr>
          <w:rFonts w:ascii="Times New Roman" w:hAnsi="Times New Roman" w:cs="Times New Roman"/>
          <w:b/>
          <w:bCs/>
        </w:rPr>
      </w:pPr>
    </w:p>
    <w:p w14:paraId="4C2B0B98" w14:textId="77777777" w:rsidR="00D66961" w:rsidRDefault="00D66961" w:rsidP="00D66961">
      <w:pPr>
        <w:jc w:val="center"/>
        <w:rPr>
          <w:rFonts w:ascii="Times New Roman" w:hAnsi="Times New Roman" w:cs="Times New Roman"/>
          <w:b/>
          <w:bCs/>
        </w:rPr>
      </w:pPr>
    </w:p>
    <w:p w14:paraId="1C53CB77" w14:textId="73C14E86" w:rsidR="00D66961" w:rsidRPr="00D66961" w:rsidRDefault="00D66961" w:rsidP="00D66961">
      <w:pPr>
        <w:spacing w:line="480" w:lineRule="auto"/>
        <w:jc w:val="center"/>
        <w:rPr>
          <w:rFonts w:ascii="Times New Roman" w:hAnsi="Times New Roman" w:cs="Times New Roman"/>
          <w:b/>
          <w:bCs/>
        </w:rPr>
      </w:pPr>
      <w:r w:rsidRPr="00D66961">
        <w:rPr>
          <w:rFonts w:ascii="Times New Roman" w:hAnsi="Times New Roman" w:cs="Times New Roman"/>
          <w:b/>
          <w:bCs/>
        </w:rPr>
        <w:t>Crux Innovation Implementation Outline:</w:t>
      </w:r>
      <w:r>
        <w:rPr>
          <w:rFonts w:ascii="Times New Roman" w:hAnsi="Times New Roman" w:cs="Times New Roman"/>
          <w:b/>
          <w:bCs/>
        </w:rPr>
        <w:t xml:space="preserve"> </w:t>
      </w:r>
      <w:r>
        <w:rPr>
          <w:rFonts w:ascii="Times New Roman" w:hAnsi="Times New Roman" w:cs="Times New Roman"/>
          <w:b/>
          <w:bCs/>
        </w:rPr>
        <w:br/>
      </w:r>
      <w:r w:rsidRPr="00D66961">
        <w:rPr>
          <w:rFonts w:ascii="Times New Roman" w:hAnsi="Times New Roman" w:cs="Times New Roman"/>
          <w:b/>
          <w:bCs/>
        </w:rPr>
        <w:t>A Three-Year Strategic Implementation Plan for a Flipped-Lab Imaging Library in Cardiac Sonography Education</w:t>
      </w:r>
    </w:p>
    <w:p w14:paraId="55B15CD6" w14:textId="77777777" w:rsidR="00D66961" w:rsidRPr="00D66961" w:rsidRDefault="00D66961" w:rsidP="00D66961">
      <w:pPr>
        <w:spacing w:line="480" w:lineRule="auto"/>
        <w:jc w:val="center"/>
        <w:rPr>
          <w:rFonts w:ascii="Times New Roman" w:hAnsi="Times New Roman" w:cs="Times New Roman"/>
        </w:rPr>
      </w:pPr>
      <w:r w:rsidRPr="00D66961">
        <w:rPr>
          <w:rFonts w:ascii="Times New Roman" w:hAnsi="Times New Roman" w:cs="Times New Roman"/>
        </w:rPr>
        <w:t>Liberty Cowden</w:t>
      </w:r>
      <w:r w:rsidRPr="00D66961">
        <w:rPr>
          <w:rFonts w:ascii="Times New Roman" w:hAnsi="Times New Roman" w:cs="Times New Roman"/>
        </w:rPr>
        <w:br/>
        <w:t>Lamar University</w:t>
      </w:r>
      <w:r w:rsidRPr="00D66961">
        <w:rPr>
          <w:rFonts w:ascii="Times New Roman" w:hAnsi="Times New Roman" w:cs="Times New Roman"/>
        </w:rPr>
        <w:br/>
        <w:t>EDLD 5305 D31 _OL</w:t>
      </w:r>
      <w:r w:rsidRPr="00D66961">
        <w:rPr>
          <w:rFonts w:ascii="Times New Roman" w:hAnsi="Times New Roman" w:cs="Times New Roman"/>
        </w:rPr>
        <w:br/>
        <w:t>Dr. Fredy Padovan</w:t>
      </w:r>
      <w:r w:rsidRPr="00D66961">
        <w:rPr>
          <w:rFonts w:ascii="Times New Roman" w:hAnsi="Times New Roman" w:cs="Times New Roman"/>
        </w:rPr>
        <w:br/>
        <w:t>May 4, 2026</w:t>
      </w:r>
    </w:p>
    <w:p w14:paraId="104357F6" w14:textId="0CB13B87" w:rsidR="00D66961" w:rsidRDefault="00D66961">
      <w:pPr>
        <w:rPr>
          <w:rFonts w:ascii="Times New Roman" w:hAnsi="Times New Roman" w:cs="Times New Roman"/>
        </w:rPr>
      </w:pPr>
      <w:r>
        <w:rPr>
          <w:rFonts w:ascii="Times New Roman" w:hAnsi="Times New Roman" w:cs="Times New Roman"/>
        </w:rPr>
        <w:br w:type="page"/>
      </w:r>
    </w:p>
    <w:p w14:paraId="02922028" w14:textId="77777777" w:rsidR="00D66961" w:rsidRPr="00D66961" w:rsidRDefault="00D66961" w:rsidP="00D66961">
      <w:pPr>
        <w:spacing w:line="480" w:lineRule="auto"/>
        <w:jc w:val="center"/>
        <w:rPr>
          <w:rFonts w:ascii="Times New Roman" w:hAnsi="Times New Roman" w:cs="Times New Roman"/>
          <w:b/>
          <w:bCs/>
        </w:rPr>
      </w:pPr>
      <w:r w:rsidRPr="00D66961">
        <w:rPr>
          <w:rFonts w:ascii="Times New Roman" w:hAnsi="Times New Roman" w:cs="Times New Roman"/>
          <w:b/>
          <w:bCs/>
        </w:rPr>
        <w:lastRenderedPageBreak/>
        <w:t>Crux Innovation Implementation Outline:</w:t>
      </w:r>
    </w:p>
    <w:p w14:paraId="3AE86351" w14:textId="77777777" w:rsidR="00D66961" w:rsidRPr="00D66961" w:rsidRDefault="00D66961" w:rsidP="00D66961">
      <w:pPr>
        <w:spacing w:line="480" w:lineRule="auto"/>
        <w:jc w:val="center"/>
        <w:rPr>
          <w:rFonts w:ascii="Times New Roman" w:hAnsi="Times New Roman" w:cs="Times New Roman"/>
          <w:b/>
          <w:bCs/>
        </w:rPr>
      </w:pPr>
      <w:r w:rsidRPr="00D66961">
        <w:rPr>
          <w:rFonts w:ascii="Times New Roman" w:hAnsi="Times New Roman" w:cs="Times New Roman"/>
          <w:b/>
          <w:bCs/>
        </w:rPr>
        <w:t>A Three-Year Strategic Implementation Plan for a Flipped-Lab Imaging Library in Cardiac Sonography Education</w:t>
      </w:r>
    </w:p>
    <w:p w14:paraId="0036EA88" w14:textId="77777777" w:rsidR="00D66961" w:rsidRPr="00D66961" w:rsidRDefault="00D66961" w:rsidP="00274692">
      <w:pPr>
        <w:spacing w:line="480" w:lineRule="auto"/>
        <w:jc w:val="center"/>
        <w:rPr>
          <w:rFonts w:ascii="Times New Roman" w:hAnsi="Times New Roman" w:cs="Times New Roman"/>
          <w:b/>
          <w:bCs/>
        </w:rPr>
      </w:pPr>
      <w:r w:rsidRPr="00D66961">
        <w:rPr>
          <w:rFonts w:ascii="Times New Roman" w:hAnsi="Times New Roman" w:cs="Times New Roman"/>
          <w:b/>
          <w:bCs/>
        </w:rPr>
        <w:t>Introduction</w:t>
      </w:r>
    </w:p>
    <w:p w14:paraId="55D00E30" w14:textId="741D6FBE"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In cardiac sonography education, laboratory time is among the most limited and instructionally valuable resources within the curriculum. Under the current instructional model, a significant portion of laboratory sessions </w:t>
      </w:r>
      <w:proofErr w:type="gramStart"/>
      <w:r w:rsidRPr="00D66961">
        <w:rPr>
          <w:rFonts w:ascii="Times New Roman" w:hAnsi="Times New Roman" w:cs="Times New Roman"/>
        </w:rPr>
        <w:t>is</w:t>
      </w:r>
      <w:proofErr w:type="gramEnd"/>
      <w:r w:rsidRPr="00D66961">
        <w:rPr>
          <w:rFonts w:ascii="Times New Roman" w:hAnsi="Times New Roman" w:cs="Times New Roman"/>
        </w:rPr>
        <w:t xml:space="preserve"> devoted to repeated live demonstrations of standard cardiac windows, measurement techniques, and troubleshooting corrections. While demonstration is necessary for initial modeling, repeated faculty-led demonstration does not consistently translate into independent scanning fluency.</w:t>
      </w:r>
    </w:p>
    <w:p w14:paraId="29BD3CC7" w14:textId="75633C60"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In the existing structure, first-attempt competency pass rates in the cardiac scanning laboratory average approximately </w:t>
      </w:r>
      <w:r w:rsidRPr="00D66961">
        <w:rPr>
          <w:rFonts w:ascii="Times New Roman" w:hAnsi="Times New Roman" w:cs="Times New Roman"/>
          <w:b/>
          <w:bCs/>
        </w:rPr>
        <w:t>62%</w:t>
      </w:r>
      <w:r w:rsidRPr="00D66961">
        <w:rPr>
          <w:rFonts w:ascii="Times New Roman" w:hAnsi="Times New Roman" w:cs="Times New Roman"/>
        </w:rPr>
        <w:t>, with nearly one-third of students requiring at least one remediation session prior to clinical placement. Faculty instructional logs indicate that live demonstration occupies approximately 50–60% of early laboratory sessions. These baseline indicators suggest that laboratory time is not being maximized for supervised psychomotor repetition—an essential element in ultrasound skill acquisition.</w:t>
      </w:r>
    </w:p>
    <w:p w14:paraId="5BD17163" w14:textId="5BA2CB14"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The proposed Crux innovation restructures laboratory instruction through a flipped-lab model supported by a structured, indexed, on-demand imaging library. The purpose is not technological enhancement for its own sake, but strategic reallocation of instructional time—shifting laboratory emphasis from repeated demonstration toward coached repetition and structured feedback. In ultrasound education, psychomotor skill development depends heavily on supervised hands-on repetition and immediate corrective guidance (Sidhu et al., 2017). By </w:t>
      </w:r>
      <w:r w:rsidRPr="00D66961">
        <w:rPr>
          <w:rFonts w:ascii="Times New Roman" w:hAnsi="Times New Roman" w:cs="Times New Roman"/>
        </w:rPr>
        <w:lastRenderedPageBreak/>
        <w:t>increasing deliberate scanning volume within supervised lab time, Crux seeks to improve clinical readiness prior to external placement.</w:t>
      </w:r>
    </w:p>
    <w:p w14:paraId="0CF7CDAB" w14:textId="5EA030A9"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Sustainable instructional change requires alignment among pedagogy, leadership practice, evaluation systems, and financial feasibility. This three-year implementation plan integrates change leadership theory, implementation science, clinical education research, and cost-effectiveness analysis to ensure the innovation becomes institutionalized rather than episodic.</w:t>
      </w:r>
    </w:p>
    <w:p w14:paraId="3A50F204" w14:textId="77777777" w:rsidR="00D66961" w:rsidRPr="00D66961" w:rsidRDefault="00D66961" w:rsidP="00E42676">
      <w:pPr>
        <w:spacing w:line="480" w:lineRule="auto"/>
        <w:jc w:val="center"/>
        <w:rPr>
          <w:rFonts w:ascii="Times New Roman" w:hAnsi="Times New Roman" w:cs="Times New Roman"/>
          <w:b/>
          <w:bCs/>
        </w:rPr>
      </w:pPr>
      <w:r w:rsidRPr="00D66961">
        <w:rPr>
          <w:rFonts w:ascii="Times New Roman" w:hAnsi="Times New Roman" w:cs="Times New Roman"/>
          <w:b/>
          <w:bCs/>
        </w:rPr>
        <w:t>Theoretical and Leadership Framework</w:t>
      </w:r>
    </w:p>
    <w:p w14:paraId="4E61593F"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Change Leadership and Coherence</w:t>
      </w:r>
    </w:p>
    <w:p w14:paraId="07A99EE8" w14:textId="0140B2B4"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Educational change literature emphasizes that innovation must be embedded within systems rather than introduced as isolated initiatives. Fullan (2016) argues that sustainable reform requires shared purpose, collaborative ownership, and continuous refinement. Accordingly, Crux will be introduced through structured faculty collaboration, transparent data review, and phased implementation rather than directive adoption.</w:t>
      </w:r>
    </w:p>
    <w:p w14:paraId="1141D5AB" w14:textId="6DA3686D"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In medical education settings, implementation science further distinguishes between intervention effectiveness and implementation effectiveness (Thomas et al., 2016). An instructional innovation must not only improve outcomes but also demonstrate adoption, fidelity, penetration, and sustainability within institutional routines.</w:t>
      </w:r>
    </w:p>
    <w:p w14:paraId="25AEBB1E"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Deliberate Practice in Clinical Skill Development</w:t>
      </w:r>
    </w:p>
    <w:p w14:paraId="3B4D3801" w14:textId="64DE047A"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Expert performance develops through structured, feedback-intensive repetition (Ericsson, 2004). Ultrasound education research similarly emphasizes that competency acquisition depends on supervised psychomotor repetition with corrective guidance (Sidhu et al., 2017). The primary </w:t>
      </w:r>
      <w:r w:rsidRPr="00D66961">
        <w:rPr>
          <w:rFonts w:ascii="Times New Roman" w:hAnsi="Times New Roman" w:cs="Times New Roman"/>
        </w:rPr>
        <w:lastRenderedPageBreak/>
        <w:t>instructional shift within Crux operationalizes deliberate practice by reducing live demonstration time by approximately 40% and reallocating that time toward coached scanning repetitions.</w:t>
      </w:r>
    </w:p>
    <w:p w14:paraId="1C6A4A7E"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Feedback Alignment and Faculty Calibration</w:t>
      </w:r>
    </w:p>
    <w:p w14:paraId="34B88C3B" w14:textId="59701CB6"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Feedback effectiveness depends on clarity, specificity, and alignment with performance standards (Hattie &amp; Timperley, 2007). In sonography laboratories, inconsistent correction language across instructors can delay skill acquisition. Twice-annual faculty calibration sessions and standardized performance rubrics will ensure consistent expectations and structured feedback delivery.</w:t>
      </w:r>
    </w:p>
    <w:p w14:paraId="40783F83" w14:textId="77777777" w:rsidR="00D66961" w:rsidRPr="00D66961" w:rsidRDefault="00D66961" w:rsidP="00E42676">
      <w:pPr>
        <w:spacing w:line="480" w:lineRule="auto"/>
        <w:jc w:val="center"/>
        <w:rPr>
          <w:rFonts w:ascii="Times New Roman" w:hAnsi="Times New Roman" w:cs="Times New Roman"/>
          <w:b/>
          <w:bCs/>
        </w:rPr>
      </w:pPr>
      <w:r w:rsidRPr="00D66961">
        <w:rPr>
          <w:rFonts w:ascii="Times New Roman" w:hAnsi="Times New Roman" w:cs="Times New Roman"/>
          <w:b/>
          <w:bCs/>
        </w:rPr>
        <w:t>Evidence Base for Flipped Learning in Health Professions</w:t>
      </w:r>
    </w:p>
    <w:p w14:paraId="602948A0" w14:textId="6E14236C"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A systematic review of flipped classrooms in undergraduate health professions education reported moderate positive effects on academic performance compared to traditional lecture-based instruction (Naing et al., 2023). Performance gains were strongest when pre-class materials were intentionally aligned with active in-class application.</w:t>
      </w:r>
    </w:p>
    <w:p w14:paraId="2AD3F945" w14:textId="3C843900"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Multimedia learning theory further supports segmented instructional design, demonstrating that breaking complex tasks into focused modules reduces cognitive overload and improves retention (Mayer, 2009). For sonography students—who must simultaneously integrate anatomy recognition, probe manipulation, and measurement precision—segmented imaging modules aligned to specific scanning objectives provide structured preparation prior to laboratory practice.</w:t>
      </w:r>
    </w:p>
    <w:p w14:paraId="210E890F" w14:textId="77777777"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Crux applies these findings through indexed content organized by cardiac window, anatomical structure, measurement category, and troubleshooting scenario.</w:t>
      </w:r>
    </w:p>
    <w:p w14:paraId="45ACD8BE" w14:textId="3A053799" w:rsidR="00D66961" w:rsidRPr="00D66961" w:rsidRDefault="00D66961" w:rsidP="00D66961">
      <w:pPr>
        <w:spacing w:line="480" w:lineRule="auto"/>
        <w:rPr>
          <w:rFonts w:ascii="Times New Roman" w:hAnsi="Times New Roman" w:cs="Times New Roman"/>
        </w:rPr>
      </w:pPr>
    </w:p>
    <w:p w14:paraId="1303D821" w14:textId="77777777" w:rsidR="00D66961" w:rsidRPr="00D66961" w:rsidRDefault="00D66961" w:rsidP="00E42676">
      <w:pPr>
        <w:spacing w:line="480" w:lineRule="auto"/>
        <w:jc w:val="center"/>
        <w:rPr>
          <w:rFonts w:ascii="Times New Roman" w:hAnsi="Times New Roman" w:cs="Times New Roman"/>
          <w:b/>
          <w:bCs/>
        </w:rPr>
      </w:pPr>
      <w:r w:rsidRPr="00D66961">
        <w:rPr>
          <w:rFonts w:ascii="Times New Roman" w:hAnsi="Times New Roman" w:cs="Times New Roman"/>
          <w:b/>
          <w:bCs/>
        </w:rPr>
        <w:t>Research-Oriented Logic Model</w:t>
      </w:r>
    </w:p>
    <w:p w14:paraId="15871B12"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Program Theory</w:t>
      </w:r>
    </w:p>
    <w:p w14:paraId="7B26340A" w14:textId="24E68190"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If students complete segmented imaging modules prior to laboratory participation and laboratory time is systematically reallocated toward coached scanning repetition, then supervised scanning volume will increase. Increased repetition paired with calibrated feedback will improve first-attempt competency performance, reduce remediation frequency, and enhance early clinical independence.</w:t>
      </w:r>
    </w:p>
    <w:p w14:paraId="03A74DCF" w14:textId="77777777" w:rsidR="00D66961" w:rsidRPr="00D66961" w:rsidRDefault="00D66961" w:rsidP="00D66961">
      <w:pPr>
        <w:spacing w:line="480" w:lineRule="auto"/>
        <w:rPr>
          <w:rFonts w:ascii="Times New Roman" w:hAnsi="Times New Roman" w:cs="Times New Roman"/>
          <w:b/>
          <w:bCs/>
        </w:rPr>
      </w:pPr>
      <w:proofErr w:type="gramStart"/>
      <w:r w:rsidRPr="00D66961">
        <w:rPr>
          <w:rFonts w:ascii="Times New Roman" w:hAnsi="Times New Roman" w:cs="Times New Roman"/>
          <w:b/>
          <w:bCs/>
        </w:rPr>
        <w:t>Inputs</w:t>
      </w:r>
      <w:proofErr w:type="gramEnd"/>
    </w:p>
    <w:p w14:paraId="4460C083" w14:textId="77777777" w:rsidR="00D66961" w:rsidRPr="00D66961" w:rsidRDefault="00D66961" w:rsidP="00D66961">
      <w:pPr>
        <w:numPr>
          <w:ilvl w:val="0"/>
          <w:numId w:val="1"/>
        </w:numPr>
        <w:spacing w:line="480" w:lineRule="auto"/>
        <w:rPr>
          <w:rFonts w:ascii="Times New Roman" w:hAnsi="Times New Roman" w:cs="Times New Roman"/>
        </w:rPr>
      </w:pPr>
      <w:r w:rsidRPr="00D66961">
        <w:rPr>
          <w:rFonts w:ascii="Times New Roman" w:hAnsi="Times New Roman" w:cs="Times New Roman"/>
        </w:rPr>
        <w:t>Faculty instructional expertise</w:t>
      </w:r>
    </w:p>
    <w:p w14:paraId="4EC631EA" w14:textId="77777777" w:rsidR="00D66961" w:rsidRPr="00D66961" w:rsidRDefault="00D66961" w:rsidP="00D66961">
      <w:pPr>
        <w:numPr>
          <w:ilvl w:val="0"/>
          <w:numId w:val="1"/>
        </w:numPr>
        <w:spacing w:line="480" w:lineRule="auto"/>
        <w:rPr>
          <w:rFonts w:ascii="Times New Roman" w:hAnsi="Times New Roman" w:cs="Times New Roman"/>
        </w:rPr>
      </w:pPr>
      <w:r w:rsidRPr="00D66961">
        <w:rPr>
          <w:rFonts w:ascii="Times New Roman" w:hAnsi="Times New Roman" w:cs="Times New Roman"/>
        </w:rPr>
        <w:t>Recording and editing equipment</w:t>
      </w:r>
    </w:p>
    <w:p w14:paraId="2475AD0F" w14:textId="77777777" w:rsidR="00D66961" w:rsidRPr="00D66961" w:rsidRDefault="00D66961" w:rsidP="00D66961">
      <w:pPr>
        <w:numPr>
          <w:ilvl w:val="0"/>
          <w:numId w:val="1"/>
        </w:numPr>
        <w:spacing w:line="480" w:lineRule="auto"/>
        <w:rPr>
          <w:rFonts w:ascii="Times New Roman" w:hAnsi="Times New Roman" w:cs="Times New Roman"/>
        </w:rPr>
      </w:pPr>
      <w:r w:rsidRPr="00D66961">
        <w:rPr>
          <w:rFonts w:ascii="Times New Roman" w:hAnsi="Times New Roman" w:cs="Times New Roman"/>
        </w:rPr>
        <w:t>Learning management system infrastructure</w:t>
      </w:r>
    </w:p>
    <w:p w14:paraId="517CE420" w14:textId="77777777" w:rsidR="00D66961" w:rsidRPr="00D66961" w:rsidRDefault="00D66961" w:rsidP="00D66961">
      <w:pPr>
        <w:numPr>
          <w:ilvl w:val="0"/>
          <w:numId w:val="1"/>
        </w:numPr>
        <w:spacing w:line="480" w:lineRule="auto"/>
        <w:rPr>
          <w:rFonts w:ascii="Times New Roman" w:hAnsi="Times New Roman" w:cs="Times New Roman"/>
        </w:rPr>
      </w:pPr>
      <w:r w:rsidRPr="00D66961">
        <w:rPr>
          <w:rFonts w:ascii="Times New Roman" w:hAnsi="Times New Roman" w:cs="Times New Roman"/>
        </w:rPr>
        <w:t>Institutional IT support</w:t>
      </w:r>
    </w:p>
    <w:p w14:paraId="3F488AFF" w14:textId="77777777" w:rsidR="00D66961" w:rsidRPr="00D66961" w:rsidRDefault="00D66961" w:rsidP="00D66961">
      <w:pPr>
        <w:numPr>
          <w:ilvl w:val="0"/>
          <w:numId w:val="1"/>
        </w:numPr>
        <w:spacing w:line="480" w:lineRule="auto"/>
        <w:rPr>
          <w:rFonts w:ascii="Times New Roman" w:hAnsi="Times New Roman" w:cs="Times New Roman"/>
        </w:rPr>
      </w:pPr>
      <w:r w:rsidRPr="00D66961">
        <w:rPr>
          <w:rFonts w:ascii="Times New Roman" w:hAnsi="Times New Roman" w:cs="Times New Roman"/>
        </w:rPr>
        <w:t>Baseline competency and remediation data</w:t>
      </w:r>
    </w:p>
    <w:p w14:paraId="5D093DA3"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Activities</w:t>
      </w:r>
    </w:p>
    <w:p w14:paraId="468E90B9" w14:textId="77777777" w:rsidR="00D66961" w:rsidRPr="00D66961" w:rsidRDefault="00D66961" w:rsidP="00D66961">
      <w:pPr>
        <w:numPr>
          <w:ilvl w:val="0"/>
          <w:numId w:val="2"/>
        </w:numPr>
        <w:spacing w:line="480" w:lineRule="auto"/>
        <w:rPr>
          <w:rFonts w:ascii="Times New Roman" w:hAnsi="Times New Roman" w:cs="Times New Roman"/>
        </w:rPr>
      </w:pPr>
      <w:r w:rsidRPr="00D66961">
        <w:rPr>
          <w:rFonts w:ascii="Times New Roman" w:hAnsi="Times New Roman" w:cs="Times New Roman"/>
        </w:rPr>
        <w:t>Development of indexed cardiac imaging modules</w:t>
      </w:r>
    </w:p>
    <w:p w14:paraId="6652E25F" w14:textId="77777777" w:rsidR="00D66961" w:rsidRPr="00D66961" w:rsidRDefault="00D66961" w:rsidP="00D66961">
      <w:pPr>
        <w:numPr>
          <w:ilvl w:val="0"/>
          <w:numId w:val="2"/>
        </w:numPr>
        <w:spacing w:line="480" w:lineRule="auto"/>
        <w:rPr>
          <w:rFonts w:ascii="Times New Roman" w:hAnsi="Times New Roman" w:cs="Times New Roman"/>
        </w:rPr>
      </w:pPr>
      <w:r w:rsidRPr="00D66961">
        <w:rPr>
          <w:rFonts w:ascii="Times New Roman" w:hAnsi="Times New Roman" w:cs="Times New Roman"/>
        </w:rPr>
        <w:t>Required pre-lab review integration</w:t>
      </w:r>
    </w:p>
    <w:p w14:paraId="14C33633" w14:textId="77777777" w:rsidR="00D66961" w:rsidRPr="00D66961" w:rsidRDefault="00D66961" w:rsidP="00D66961">
      <w:pPr>
        <w:numPr>
          <w:ilvl w:val="0"/>
          <w:numId w:val="2"/>
        </w:numPr>
        <w:spacing w:line="480" w:lineRule="auto"/>
        <w:rPr>
          <w:rFonts w:ascii="Times New Roman" w:hAnsi="Times New Roman" w:cs="Times New Roman"/>
        </w:rPr>
      </w:pPr>
      <w:r w:rsidRPr="00D66961">
        <w:rPr>
          <w:rFonts w:ascii="Times New Roman" w:hAnsi="Times New Roman" w:cs="Times New Roman"/>
        </w:rPr>
        <w:t>Reduction of live demonstration time</w:t>
      </w:r>
    </w:p>
    <w:p w14:paraId="2002F448" w14:textId="77777777" w:rsidR="00D66961" w:rsidRPr="00D66961" w:rsidRDefault="00D66961" w:rsidP="00D66961">
      <w:pPr>
        <w:numPr>
          <w:ilvl w:val="0"/>
          <w:numId w:val="2"/>
        </w:numPr>
        <w:spacing w:line="480" w:lineRule="auto"/>
        <w:rPr>
          <w:rFonts w:ascii="Times New Roman" w:hAnsi="Times New Roman" w:cs="Times New Roman"/>
        </w:rPr>
      </w:pPr>
      <w:r w:rsidRPr="00D66961">
        <w:rPr>
          <w:rFonts w:ascii="Times New Roman" w:hAnsi="Times New Roman" w:cs="Times New Roman"/>
        </w:rPr>
        <w:t>Faculty calibration sessions</w:t>
      </w:r>
    </w:p>
    <w:p w14:paraId="2C623903" w14:textId="77777777" w:rsidR="00D66961" w:rsidRPr="00D66961" w:rsidRDefault="00D66961" w:rsidP="00D66961">
      <w:pPr>
        <w:numPr>
          <w:ilvl w:val="0"/>
          <w:numId w:val="2"/>
        </w:numPr>
        <w:spacing w:line="480" w:lineRule="auto"/>
        <w:rPr>
          <w:rFonts w:ascii="Times New Roman" w:hAnsi="Times New Roman" w:cs="Times New Roman"/>
        </w:rPr>
      </w:pPr>
      <w:r w:rsidRPr="00D66961">
        <w:rPr>
          <w:rFonts w:ascii="Times New Roman" w:hAnsi="Times New Roman" w:cs="Times New Roman"/>
        </w:rPr>
        <w:lastRenderedPageBreak/>
        <w:t>Pilot cohort implementation</w:t>
      </w:r>
    </w:p>
    <w:p w14:paraId="4F31ED2C" w14:textId="77777777" w:rsidR="00D66961" w:rsidRPr="00D66961" w:rsidRDefault="00D66961" w:rsidP="00D66961">
      <w:pPr>
        <w:numPr>
          <w:ilvl w:val="0"/>
          <w:numId w:val="2"/>
        </w:numPr>
        <w:spacing w:line="480" w:lineRule="auto"/>
        <w:rPr>
          <w:rFonts w:ascii="Times New Roman" w:hAnsi="Times New Roman" w:cs="Times New Roman"/>
        </w:rPr>
      </w:pPr>
      <w:r w:rsidRPr="00D66961">
        <w:rPr>
          <w:rFonts w:ascii="Times New Roman" w:hAnsi="Times New Roman" w:cs="Times New Roman"/>
        </w:rPr>
        <w:t>Ongoing performance and efficiency data collection</w:t>
      </w:r>
    </w:p>
    <w:p w14:paraId="49649CF5"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Implementation Outcomes (Proctor et al., 2011)</w:t>
      </w:r>
    </w:p>
    <w:p w14:paraId="33E63307" w14:textId="77777777" w:rsidR="00D66961" w:rsidRPr="00D66961" w:rsidRDefault="00D66961" w:rsidP="00D66961">
      <w:pPr>
        <w:numPr>
          <w:ilvl w:val="0"/>
          <w:numId w:val="3"/>
        </w:numPr>
        <w:spacing w:line="480" w:lineRule="auto"/>
        <w:rPr>
          <w:rFonts w:ascii="Times New Roman" w:hAnsi="Times New Roman" w:cs="Times New Roman"/>
        </w:rPr>
      </w:pPr>
      <w:r w:rsidRPr="00D66961">
        <w:rPr>
          <w:rFonts w:ascii="Times New Roman" w:hAnsi="Times New Roman" w:cs="Times New Roman"/>
        </w:rPr>
        <w:t>Acceptability (faculty perception surveys)</w:t>
      </w:r>
    </w:p>
    <w:p w14:paraId="21406D16" w14:textId="77777777" w:rsidR="00D66961" w:rsidRPr="00D66961" w:rsidRDefault="00D66961" w:rsidP="00D66961">
      <w:pPr>
        <w:numPr>
          <w:ilvl w:val="0"/>
          <w:numId w:val="3"/>
        </w:numPr>
        <w:spacing w:line="480" w:lineRule="auto"/>
        <w:rPr>
          <w:rFonts w:ascii="Times New Roman" w:hAnsi="Times New Roman" w:cs="Times New Roman"/>
        </w:rPr>
      </w:pPr>
      <w:r w:rsidRPr="00D66961">
        <w:rPr>
          <w:rFonts w:ascii="Times New Roman" w:hAnsi="Times New Roman" w:cs="Times New Roman"/>
        </w:rPr>
        <w:t>Adoption (percentage of instructors implementing model)</w:t>
      </w:r>
    </w:p>
    <w:p w14:paraId="3FA59ACB" w14:textId="77777777" w:rsidR="00D66961" w:rsidRPr="00D66961" w:rsidRDefault="00D66961" w:rsidP="00D66961">
      <w:pPr>
        <w:numPr>
          <w:ilvl w:val="0"/>
          <w:numId w:val="3"/>
        </w:numPr>
        <w:spacing w:line="480" w:lineRule="auto"/>
        <w:rPr>
          <w:rFonts w:ascii="Times New Roman" w:hAnsi="Times New Roman" w:cs="Times New Roman"/>
        </w:rPr>
      </w:pPr>
      <w:r w:rsidRPr="00D66961">
        <w:rPr>
          <w:rFonts w:ascii="Times New Roman" w:hAnsi="Times New Roman" w:cs="Times New Roman"/>
        </w:rPr>
        <w:t>Fidelity (adherence to demonstration reduction structure)</w:t>
      </w:r>
    </w:p>
    <w:p w14:paraId="4F302142" w14:textId="77777777" w:rsidR="00D66961" w:rsidRPr="00D66961" w:rsidRDefault="00D66961" w:rsidP="00D66961">
      <w:pPr>
        <w:numPr>
          <w:ilvl w:val="0"/>
          <w:numId w:val="3"/>
        </w:numPr>
        <w:spacing w:line="480" w:lineRule="auto"/>
        <w:rPr>
          <w:rFonts w:ascii="Times New Roman" w:hAnsi="Times New Roman" w:cs="Times New Roman"/>
        </w:rPr>
      </w:pPr>
      <w:r w:rsidRPr="00D66961">
        <w:rPr>
          <w:rFonts w:ascii="Times New Roman" w:hAnsi="Times New Roman" w:cs="Times New Roman"/>
        </w:rPr>
        <w:t>Penetration (integration across cohorts)</w:t>
      </w:r>
    </w:p>
    <w:p w14:paraId="0478ADB5" w14:textId="77777777" w:rsidR="00D66961" w:rsidRPr="00D66961" w:rsidRDefault="00D66961" w:rsidP="00D66961">
      <w:pPr>
        <w:numPr>
          <w:ilvl w:val="0"/>
          <w:numId w:val="3"/>
        </w:numPr>
        <w:spacing w:line="480" w:lineRule="auto"/>
        <w:rPr>
          <w:rFonts w:ascii="Times New Roman" w:hAnsi="Times New Roman" w:cs="Times New Roman"/>
        </w:rPr>
      </w:pPr>
      <w:r w:rsidRPr="00D66961">
        <w:rPr>
          <w:rFonts w:ascii="Times New Roman" w:hAnsi="Times New Roman" w:cs="Times New Roman"/>
        </w:rPr>
        <w:t>Sustainability (formal curriculum embedding)</w:t>
      </w:r>
    </w:p>
    <w:p w14:paraId="24ACAC3B"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Effectiveness Outcomes</w:t>
      </w:r>
    </w:p>
    <w:p w14:paraId="0F58251C" w14:textId="77777777"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Short-Term:</w:t>
      </w:r>
    </w:p>
    <w:p w14:paraId="43945633" w14:textId="77777777" w:rsidR="00D66961" w:rsidRPr="00D66961" w:rsidRDefault="00D66961" w:rsidP="00D66961">
      <w:pPr>
        <w:numPr>
          <w:ilvl w:val="0"/>
          <w:numId w:val="4"/>
        </w:numPr>
        <w:spacing w:line="480" w:lineRule="auto"/>
        <w:rPr>
          <w:rFonts w:ascii="Times New Roman" w:hAnsi="Times New Roman" w:cs="Times New Roman"/>
        </w:rPr>
      </w:pPr>
      <w:r w:rsidRPr="00D66961">
        <w:rPr>
          <w:rFonts w:ascii="Times New Roman" w:hAnsi="Times New Roman" w:cs="Times New Roman"/>
        </w:rPr>
        <w:t>Increased readiness quiz performance</w:t>
      </w:r>
    </w:p>
    <w:p w14:paraId="2CBBB0C1" w14:textId="77777777" w:rsidR="00D66961" w:rsidRPr="00D66961" w:rsidRDefault="00D66961" w:rsidP="00D66961">
      <w:pPr>
        <w:numPr>
          <w:ilvl w:val="0"/>
          <w:numId w:val="4"/>
        </w:numPr>
        <w:spacing w:line="480" w:lineRule="auto"/>
        <w:rPr>
          <w:rFonts w:ascii="Times New Roman" w:hAnsi="Times New Roman" w:cs="Times New Roman"/>
        </w:rPr>
      </w:pPr>
      <w:r w:rsidRPr="00D66961">
        <w:rPr>
          <w:rFonts w:ascii="Times New Roman" w:hAnsi="Times New Roman" w:cs="Times New Roman"/>
        </w:rPr>
        <w:t>Increased supervised scanning repetitions</w:t>
      </w:r>
    </w:p>
    <w:p w14:paraId="3778A7DE" w14:textId="77777777" w:rsidR="00D66961" w:rsidRPr="00D66961" w:rsidRDefault="00D66961" w:rsidP="00D66961">
      <w:pPr>
        <w:numPr>
          <w:ilvl w:val="0"/>
          <w:numId w:val="4"/>
        </w:numPr>
        <w:spacing w:line="480" w:lineRule="auto"/>
        <w:rPr>
          <w:rFonts w:ascii="Times New Roman" w:hAnsi="Times New Roman" w:cs="Times New Roman"/>
        </w:rPr>
      </w:pPr>
      <w:r w:rsidRPr="00D66961">
        <w:rPr>
          <w:rFonts w:ascii="Times New Roman" w:hAnsi="Times New Roman" w:cs="Times New Roman"/>
        </w:rPr>
        <w:t>Improved first-attempt competency rates</w:t>
      </w:r>
    </w:p>
    <w:p w14:paraId="2ACCBBA1" w14:textId="77777777"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Long-Term:</w:t>
      </w:r>
    </w:p>
    <w:p w14:paraId="0B46CA03" w14:textId="77777777" w:rsidR="00D66961" w:rsidRPr="00D66961" w:rsidRDefault="00D66961" w:rsidP="00D66961">
      <w:pPr>
        <w:numPr>
          <w:ilvl w:val="0"/>
          <w:numId w:val="5"/>
        </w:numPr>
        <w:spacing w:line="480" w:lineRule="auto"/>
        <w:rPr>
          <w:rFonts w:ascii="Times New Roman" w:hAnsi="Times New Roman" w:cs="Times New Roman"/>
        </w:rPr>
      </w:pPr>
      <w:r w:rsidRPr="00D66961">
        <w:rPr>
          <w:rFonts w:ascii="Times New Roman" w:hAnsi="Times New Roman" w:cs="Times New Roman"/>
        </w:rPr>
        <w:t>Enhanced clinical preceptor evaluations</w:t>
      </w:r>
    </w:p>
    <w:p w14:paraId="35C0833F" w14:textId="77777777" w:rsidR="00D66961" w:rsidRPr="00D66961" w:rsidRDefault="00D66961" w:rsidP="00D66961">
      <w:pPr>
        <w:numPr>
          <w:ilvl w:val="0"/>
          <w:numId w:val="5"/>
        </w:numPr>
        <w:spacing w:line="480" w:lineRule="auto"/>
        <w:rPr>
          <w:rFonts w:ascii="Times New Roman" w:hAnsi="Times New Roman" w:cs="Times New Roman"/>
        </w:rPr>
      </w:pPr>
      <w:r w:rsidRPr="00D66961">
        <w:rPr>
          <w:rFonts w:ascii="Times New Roman" w:hAnsi="Times New Roman" w:cs="Times New Roman"/>
        </w:rPr>
        <w:t>Reduced remediation sessions</w:t>
      </w:r>
    </w:p>
    <w:p w14:paraId="3577DD88" w14:textId="77777777" w:rsidR="00D66961" w:rsidRPr="00D66961" w:rsidRDefault="00D66961" w:rsidP="00D66961">
      <w:pPr>
        <w:numPr>
          <w:ilvl w:val="0"/>
          <w:numId w:val="5"/>
        </w:numPr>
        <w:spacing w:line="480" w:lineRule="auto"/>
        <w:rPr>
          <w:rFonts w:ascii="Times New Roman" w:hAnsi="Times New Roman" w:cs="Times New Roman"/>
        </w:rPr>
      </w:pPr>
      <w:r w:rsidRPr="00D66961">
        <w:rPr>
          <w:rFonts w:ascii="Times New Roman" w:hAnsi="Times New Roman" w:cs="Times New Roman"/>
        </w:rPr>
        <w:t>Increased early-rotation independence</w:t>
      </w:r>
    </w:p>
    <w:p w14:paraId="527A757C" w14:textId="2AD5AA83"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Increasing first-attempt competency performance from 62% to approximately 75–80% would align laboratory preparation more closely with early clinical expectations.</w:t>
      </w:r>
    </w:p>
    <w:p w14:paraId="3EF9F009" w14:textId="60F5E2C7" w:rsidR="00D66961" w:rsidRPr="00D66961" w:rsidRDefault="00D66961" w:rsidP="00D66961">
      <w:pPr>
        <w:spacing w:line="480" w:lineRule="auto"/>
        <w:rPr>
          <w:rFonts w:ascii="Times New Roman" w:hAnsi="Times New Roman" w:cs="Times New Roman"/>
        </w:rPr>
      </w:pPr>
    </w:p>
    <w:p w14:paraId="157A68E2" w14:textId="77777777" w:rsidR="00D66961" w:rsidRPr="00D66961" w:rsidRDefault="00D66961" w:rsidP="00E42676">
      <w:pPr>
        <w:spacing w:line="480" w:lineRule="auto"/>
        <w:jc w:val="center"/>
        <w:rPr>
          <w:rFonts w:ascii="Times New Roman" w:hAnsi="Times New Roman" w:cs="Times New Roman"/>
          <w:b/>
          <w:bCs/>
        </w:rPr>
      </w:pPr>
      <w:r w:rsidRPr="00D66961">
        <w:rPr>
          <w:rFonts w:ascii="Times New Roman" w:hAnsi="Times New Roman" w:cs="Times New Roman"/>
          <w:b/>
          <w:bCs/>
        </w:rPr>
        <w:t>Three-Year Implementation Plan</w:t>
      </w:r>
    </w:p>
    <w:p w14:paraId="141650E3"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Year One: Development and Pilot</w:t>
      </w:r>
    </w:p>
    <w:p w14:paraId="3729E371" w14:textId="7A002E0F"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Baseline competency performance and remediation data will guide refinement of objectives. Segmented modules will be developed following multimedia learning principles (Mayer, 2009). Faculty planning sessions will align instructional language and evaluation standards.</w:t>
      </w:r>
    </w:p>
    <w:p w14:paraId="5D072AC2" w14:textId="193F770C"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A pilot cohort will implement the flipped-lab structure during the second semester. Evaluation will include readiness assessments, first-attempt competency rates, faculty time logs, and student perception surveys.</w:t>
      </w:r>
    </w:p>
    <w:p w14:paraId="770043F8"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Year Two: Expansion and Validation</w:t>
      </w:r>
    </w:p>
    <w:p w14:paraId="603C65B9" w14:textId="4F6BB6B1"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The model will expand across all first-year cohorts. Pre-lab preparation will be embedded into grading structures to ensure accountability. Calibration meetings will occur twice annually.</w:t>
      </w:r>
    </w:p>
    <w:p w14:paraId="081741F4" w14:textId="77777777"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Performance targets include:</w:t>
      </w:r>
    </w:p>
    <w:p w14:paraId="7F49D5A6" w14:textId="77777777" w:rsidR="00D66961" w:rsidRPr="00D66961" w:rsidRDefault="00D66961" w:rsidP="00D66961">
      <w:pPr>
        <w:numPr>
          <w:ilvl w:val="0"/>
          <w:numId w:val="6"/>
        </w:numPr>
        <w:spacing w:line="480" w:lineRule="auto"/>
        <w:rPr>
          <w:rFonts w:ascii="Times New Roman" w:hAnsi="Times New Roman" w:cs="Times New Roman"/>
        </w:rPr>
      </w:pPr>
      <w:r w:rsidRPr="00D66961">
        <w:rPr>
          <w:rFonts w:ascii="Times New Roman" w:hAnsi="Times New Roman" w:cs="Times New Roman"/>
        </w:rPr>
        <w:t>20–30% increase in first-attempt competency pass rates</w:t>
      </w:r>
    </w:p>
    <w:p w14:paraId="4E96415B" w14:textId="77777777" w:rsidR="00D66961" w:rsidRPr="00D66961" w:rsidRDefault="00D66961" w:rsidP="00D66961">
      <w:pPr>
        <w:numPr>
          <w:ilvl w:val="0"/>
          <w:numId w:val="6"/>
        </w:numPr>
        <w:spacing w:line="480" w:lineRule="auto"/>
        <w:rPr>
          <w:rFonts w:ascii="Times New Roman" w:hAnsi="Times New Roman" w:cs="Times New Roman"/>
        </w:rPr>
      </w:pPr>
      <w:r w:rsidRPr="00D66961">
        <w:rPr>
          <w:rFonts w:ascii="Times New Roman" w:hAnsi="Times New Roman" w:cs="Times New Roman"/>
        </w:rPr>
        <w:t xml:space="preserve">25% reduction </w:t>
      </w:r>
      <w:proofErr w:type="gramStart"/>
      <w:r w:rsidRPr="00D66961">
        <w:rPr>
          <w:rFonts w:ascii="Times New Roman" w:hAnsi="Times New Roman" w:cs="Times New Roman"/>
        </w:rPr>
        <w:t>in</w:t>
      </w:r>
      <w:proofErr w:type="gramEnd"/>
      <w:r w:rsidRPr="00D66961">
        <w:rPr>
          <w:rFonts w:ascii="Times New Roman" w:hAnsi="Times New Roman" w:cs="Times New Roman"/>
        </w:rPr>
        <w:t xml:space="preserve"> remediation sessions</w:t>
      </w:r>
    </w:p>
    <w:p w14:paraId="75562A3B" w14:textId="77777777" w:rsidR="00D66961" w:rsidRPr="00D66961" w:rsidRDefault="00D66961" w:rsidP="00D66961">
      <w:pPr>
        <w:numPr>
          <w:ilvl w:val="0"/>
          <w:numId w:val="6"/>
        </w:numPr>
        <w:spacing w:line="480" w:lineRule="auto"/>
        <w:rPr>
          <w:rFonts w:ascii="Times New Roman" w:hAnsi="Times New Roman" w:cs="Times New Roman"/>
        </w:rPr>
      </w:pPr>
      <w:r w:rsidRPr="00D66961">
        <w:rPr>
          <w:rFonts w:ascii="Times New Roman" w:hAnsi="Times New Roman" w:cs="Times New Roman"/>
        </w:rPr>
        <w:t>Improved early clinical confidence ratings</w:t>
      </w:r>
    </w:p>
    <w:p w14:paraId="059F020A"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Year Three: Institutionalization and Scalability</w:t>
      </w:r>
    </w:p>
    <w:p w14:paraId="401DDCA0" w14:textId="7499C772"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Crux will be embedded within curriculum governance documents and faculty onboarding processes. Adoption and fidelity metrics will be reviewed annually. Scalability to vascular and </w:t>
      </w:r>
      <w:r w:rsidRPr="00D66961">
        <w:rPr>
          <w:rFonts w:ascii="Times New Roman" w:hAnsi="Times New Roman" w:cs="Times New Roman"/>
        </w:rPr>
        <w:lastRenderedPageBreak/>
        <w:t>abdominal tracks will follow structured implementation capacity-building principles (Leppin et al., 2021).</w:t>
      </w:r>
    </w:p>
    <w:p w14:paraId="74C263E9" w14:textId="77777777" w:rsidR="00D66961" w:rsidRPr="00D66961" w:rsidRDefault="00D66961" w:rsidP="00E42676">
      <w:pPr>
        <w:spacing w:line="480" w:lineRule="auto"/>
        <w:jc w:val="center"/>
        <w:rPr>
          <w:rFonts w:ascii="Times New Roman" w:hAnsi="Times New Roman" w:cs="Times New Roman"/>
          <w:b/>
          <w:bCs/>
        </w:rPr>
      </w:pPr>
      <w:r w:rsidRPr="00D66961">
        <w:rPr>
          <w:rFonts w:ascii="Times New Roman" w:hAnsi="Times New Roman" w:cs="Times New Roman"/>
          <w:b/>
          <w:bCs/>
        </w:rPr>
        <w:t>Executive Return on Investment (ROI) Analysis</w:t>
      </w:r>
    </w:p>
    <w:p w14:paraId="3C30FEA3" w14:textId="77777777" w:rsidR="00A17DD3" w:rsidRPr="00A17DD3" w:rsidRDefault="00D66961" w:rsidP="00A17DD3">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Educational innovation must demonstrate fiscal stewardship alongside academic benefit.</w:t>
      </w:r>
      <w:r w:rsidR="00A17DD3">
        <w:rPr>
          <w:rFonts w:ascii="Times New Roman" w:hAnsi="Times New Roman" w:cs="Times New Roman"/>
        </w:rPr>
        <w:t xml:space="preserve"> </w:t>
      </w:r>
      <w:r w:rsidR="00A17DD3" w:rsidRPr="00A17DD3">
        <w:rPr>
          <w:rFonts w:ascii="Times New Roman" w:hAnsi="Times New Roman" w:cs="Times New Roman"/>
        </w:rPr>
        <w:t>Within contemporary higher education systems, instructional redesign must be evaluated not only for pedagogical impact but also for demonstrable return on investment, long-term sustainability, and alignment with institutional resource allocation models.</w:t>
      </w:r>
    </w:p>
    <w:p w14:paraId="22701161"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Financial Summary</w:t>
      </w:r>
    </w:p>
    <w:p w14:paraId="40578883" w14:textId="367AC300"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Initial Startup Investment: $11,700</w:t>
      </w:r>
      <w:r w:rsidRPr="00D66961">
        <w:rPr>
          <w:rFonts w:ascii="Times New Roman" w:hAnsi="Times New Roman" w:cs="Times New Roman"/>
        </w:rPr>
        <w:br/>
      </w:r>
      <w:r>
        <w:rPr>
          <w:rFonts w:ascii="Times New Roman" w:hAnsi="Times New Roman" w:cs="Times New Roman"/>
        </w:rPr>
        <w:t xml:space="preserve">          </w:t>
      </w:r>
      <w:r w:rsidRPr="00D66961">
        <w:rPr>
          <w:rFonts w:ascii="Times New Roman" w:hAnsi="Times New Roman" w:cs="Times New Roman"/>
        </w:rPr>
        <w:t>Annual Maintenance Cost: $3,700</w:t>
      </w:r>
      <w:r w:rsidRPr="00D66961">
        <w:rPr>
          <w:rFonts w:ascii="Times New Roman" w:hAnsi="Times New Roman" w:cs="Times New Roman"/>
        </w:rPr>
        <w:br/>
      </w:r>
      <w:r>
        <w:rPr>
          <w:rFonts w:ascii="Times New Roman" w:hAnsi="Times New Roman" w:cs="Times New Roman"/>
        </w:rPr>
        <w:t xml:space="preserve">          </w:t>
      </w:r>
      <w:r w:rsidRPr="00D66961">
        <w:rPr>
          <w:rFonts w:ascii="Times New Roman" w:hAnsi="Times New Roman" w:cs="Times New Roman"/>
        </w:rPr>
        <w:t>Three-Year Total Cost: $22,800</w:t>
      </w:r>
    </w:p>
    <w:p w14:paraId="791CCDFF" w14:textId="77777777" w:rsidR="00D66961" w:rsidRPr="00D66961" w:rsidRDefault="00D66961" w:rsidP="00D66961">
      <w:pPr>
        <w:spacing w:line="480" w:lineRule="auto"/>
        <w:rPr>
          <w:rFonts w:ascii="Times New Roman" w:hAnsi="Times New Roman" w:cs="Times New Roman"/>
          <w:b/>
          <w:bCs/>
        </w:rPr>
      </w:pPr>
      <w:r w:rsidRPr="00D66961">
        <w:rPr>
          <w:rFonts w:ascii="Times New Roman" w:hAnsi="Times New Roman" w:cs="Times New Roman"/>
          <w:b/>
          <w:bCs/>
        </w:rPr>
        <w:t>Efficiency Gain Calculation</w:t>
      </w:r>
    </w:p>
    <w:p w14:paraId="6117A99E" w14:textId="0B474806"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Projected efficiency gains are calculated based on a conservative reduction of approximately </w:t>
      </w:r>
      <w:r w:rsidRPr="00D66961">
        <w:rPr>
          <w:rFonts w:ascii="Times New Roman" w:hAnsi="Times New Roman" w:cs="Times New Roman"/>
          <w:b/>
          <w:bCs/>
        </w:rPr>
        <w:t>2 faculty instructional hours per week</w:t>
      </w:r>
      <w:r w:rsidRPr="00D66961">
        <w:rPr>
          <w:rFonts w:ascii="Times New Roman" w:hAnsi="Times New Roman" w:cs="Times New Roman"/>
        </w:rPr>
        <w:t xml:space="preserve"> during demonstration-heavy laboratory sessions across two 15-week semesters. At an estimated instructional cost of $50 per hour (inclusive of salary and fringe allocation), this represents approximately $1,500 per semester, or $3,000 annually in recaptured instructional capacity.</w:t>
      </w:r>
    </w:p>
    <w:p w14:paraId="63D30782" w14:textId="356AEAB5"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Additional projected gains reflect decreased remediation sessions, estimated at 20–25 faculty hours annually across cohorts. Combined, these adjustments yield an estimated </w:t>
      </w:r>
      <w:r w:rsidRPr="00D66961">
        <w:rPr>
          <w:rFonts w:ascii="Times New Roman" w:hAnsi="Times New Roman" w:cs="Times New Roman"/>
          <w:b/>
          <w:bCs/>
        </w:rPr>
        <w:t>$7,000 in annual instructional efficiency gains</w:t>
      </w:r>
      <w:r w:rsidRPr="00D66961">
        <w:rPr>
          <w:rFonts w:ascii="Times New Roman" w:hAnsi="Times New Roman" w:cs="Times New Roman"/>
        </w:rPr>
        <w:t xml:space="preserve"> without increasing total workload.</w:t>
      </w:r>
    </w:p>
    <w:p w14:paraId="31D402C2" w14:textId="4FE2BFED"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Projected Three-Year Efficiency Gains: $21,000</w:t>
      </w:r>
    </w:p>
    <w:p w14:paraId="2D7AA1F9" w14:textId="4CA673FC" w:rsidR="00D66961" w:rsidRPr="00D66961" w:rsidRDefault="00D66961" w:rsidP="00D66961">
      <w:pPr>
        <w:spacing w:line="480" w:lineRule="auto"/>
        <w:rPr>
          <w:rFonts w:ascii="Times New Roman" w:hAnsi="Times New Roman" w:cs="Times New Roman"/>
        </w:rPr>
      </w:pPr>
      <w:r>
        <w:rPr>
          <w:rFonts w:ascii="Times New Roman" w:hAnsi="Times New Roman" w:cs="Times New Roman"/>
        </w:rPr>
        <w:lastRenderedPageBreak/>
        <w:t xml:space="preserve">          </w:t>
      </w:r>
      <w:r w:rsidRPr="00D66961">
        <w:rPr>
          <w:rFonts w:ascii="Times New Roman" w:hAnsi="Times New Roman" w:cs="Times New Roman"/>
        </w:rPr>
        <w:t>Break-even occurs during Year Two under conservative projections.</w:t>
      </w:r>
    </w:p>
    <w:p w14:paraId="54A48A99" w14:textId="12A95E49"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Beyond direct cost recovery, Crux represents instructional productivity reallocation. Demonstration time yields diminishing marginal returns when repeated excessively. Reallocating that time toward coached repetition increases instructional yield per laboratory hour.</w:t>
      </w:r>
    </w:p>
    <w:p w14:paraId="4765F1D0" w14:textId="3CCFCA51"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 xml:space="preserve">Indirect benefits include reduced faculty overload, potential </w:t>
      </w:r>
      <w:proofErr w:type="gramStart"/>
      <w:r w:rsidRPr="00D66961">
        <w:rPr>
          <w:rFonts w:ascii="Times New Roman" w:hAnsi="Times New Roman" w:cs="Times New Roman"/>
        </w:rPr>
        <w:t>delay</w:t>
      </w:r>
      <w:proofErr w:type="gramEnd"/>
      <w:r w:rsidRPr="00D66961">
        <w:rPr>
          <w:rFonts w:ascii="Times New Roman" w:hAnsi="Times New Roman" w:cs="Times New Roman"/>
        </w:rPr>
        <w:t xml:space="preserve"> of additional hiring, strengthened clinical partnerships, and enhanced program competitiveness.</w:t>
      </w:r>
    </w:p>
    <w:p w14:paraId="248FE26D" w14:textId="1D987653" w:rsidR="00D66961" w:rsidRPr="00D66961" w:rsidRDefault="00D66961" w:rsidP="00A17DD3">
      <w:pPr>
        <w:spacing w:line="480" w:lineRule="auto"/>
        <w:jc w:val="center"/>
        <w:rPr>
          <w:rFonts w:ascii="Times New Roman" w:hAnsi="Times New Roman" w:cs="Times New Roman"/>
          <w:b/>
          <w:bCs/>
        </w:rPr>
      </w:pPr>
      <w:r w:rsidRPr="00D66961">
        <w:rPr>
          <w:rFonts w:ascii="Times New Roman" w:hAnsi="Times New Roman" w:cs="Times New Roman"/>
          <w:b/>
          <w:bCs/>
        </w:rPr>
        <w:t>Risk Management</w:t>
      </w:r>
    </w:p>
    <w:p w14:paraId="3EEE416B" w14:textId="7D7563B5"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Risks include faculty resistance, inconsistent student pre-lab engagement, technological fatigue, and budget limitations. Mitigation strategies include collaborative planning, graded readiness assessments, phased expenditures, and annual content review cycles.</w:t>
      </w:r>
    </w:p>
    <w:p w14:paraId="55508D32" w14:textId="64FD878B"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Sustained faculty calibration remains central to preventing instructional variability (Sidhu et al., 2017).</w:t>
      </w:r>
    </w:p>
    <w:p w14:paraId="0E45A384" w14:textId="6D45CEB0" w:rsidR="00D66961" w:rsidRPr="00D66961" w:rsidRDefault="00D66961" w:rsidP="00D66961">
      <w:pPr>
        <w:spacing w:line="480" w:lineRule="auto"/>
        <w:rPr>
          <w:rFonts w:ascii="Times New Roman" w:hAnsi="Times New Roman" w:cs="Times New Roman"/>
        </w:rPr>
      </w:pPr>
    </w:p>
    <w:p w14:paraId="29C5689D" w14:textId="77777777" w:rsidR="00A17DD3" w:rsidRDefault="00A17DD3">
      <w:pPr>
        <w:rPr>
          <w:rFonts w:ascii="Times New Roman" w:hAnsi="Times New Roman" w:cs="Times New Roman"/>
          <w:b/>
          <w:bCs/>
        </w:rPr>
      </w:pPr>
      <w:r>
        <w:rPr>
          <w:rFonts w:ascii="Times New Roman" w:hAnsi="Times New Roman" w:cs="Times New Roman"/>
          <w:b/>
          <w:bCs/>
        </w:rPr>
        <w:br w:type="page"/>
      </w:r>
    </w:p>
    <w:p w14:paraId="209EA518" w14:textId="72365770" w:rsidR="00D66961" w:rsidRPr="00D66961" w:rsidRDefault="00D66961" w:rsidP="00274692">
      <w:pPr>
        <w:spacing w:line="480" w:lineRule="auto"/>
        <w:jc w:val="center"/>
        <w:rPr>
          <w:rFonts w:ascii="Times New Roman" w:hAnsi="Times New Roman" w:cs="Times New Roman"/>
          <w:b/>
          <w:bCs/>
        </w:rPr>
      </w:pPr>
      <w:r w:rsidRPr="00D66961">
        <w:rPr>
          <w:rFonts w:ascii="Times New Roman" w:hAnsi="Times New Roman" w:cs="Times New Roman"/>
          <w:b/>
          <w:bCs/>
        </w:rPr>
        <w:lastRenderedPageBreak/>
        <w:t>Conclusion</w:t>
      </w:r>
    </w:p>
    <w:p w14:paraId="01304EA8" w14:textId="1EBFEDA9"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Crux represents a deliberate, data-informed shift toward performance-centered laboratory instruction in cardiac sonography education. Grounded in deliberate practice theory, multimedia learning research, implementation science, and discipline-specific clinical education literature, the innovation aligns pedagogical rigor with fiscal responsibility.</w:t>
      </w:r>
    </w:p>
    <w:p w14:paraId="35463AB4" w14:textId="48CCA7C3"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Over three years, the plan transitions from pilot implementation to institutional embedding. Startup costs remain modest, recurring costs are controlled, and break-even occurs within two academic cycles. More importantly, reallocating laboratory time toward coached repetition strengthens the conditions under which clinical expertise develops.</w:t>
      </w:r>
    </w:p>
    <w:p w14:paraId="6246E3A8" w14:textId="02858B57" w:rsidR="00D66961" w:rsidRPr="00D66961" w:rsidRDefault="00D66961" w:rsidP="00D66961">
      <w:pPr>
        <w:spacing w:line="480" w:lineRule="auto"/>
        <w:rPr>
          <w:rFonts w:ascii="Times New Roman" w:hAnsi="Times New Roman" w:cs="Times New Roman"/>
        </w:rPr>
      </w:pPr>
      <w:r>
        <w:rPr>
          <w:rFonts w:ascii="Times New Roman" w:hAnsi="Times New Roman" w:cs="Times New Roman"/>
        </w:rPr>
        <w:t xml:space="preserve">          </w:t>
      </w:r>
      <w:r w:rsidRPr="00D66961">
        <w:rPr>
          <w:rFonts w:ascii="Times New Roman" w:hAnsi="Times New Roman" w:cs="Times New Roman"/>
        </w:rPr>
        <w:t>Crux positions the program for sustained instructional improvement, enhanced clinical readiness, and long-term institutional advancement.</w:t>
      </w:r>
    </w:p>
    <w:p w14:paraId="54988852" w14:textId="0AEE3A75" w:rsidR="00D66961" w:rsidRDefault="00D66961">
      <w:pPr>
        <w:rPr>
          <w:rFonts w:ascii="Times New Roman" w:hAnsi="Times New Roman" w:cs="Times New Roman"/>
        </w:rPr>
      </w:pPr>
      <w:r>
        <w:rPr>
          <w:rFonts w:ascii="Times New Roman" w:hAnsi="Times New Roman" w:cs="Times New Roman"/>
        </w:rPr>
        <w:br w:type="page"/>
      </w:r>
    </w:p>
    <w:p w14:paraId="7AB2A3AD" w14:textId="77777777" w:rsidR="00D66961" w:rsidRPr="00D66961" w:rsidRDefault="00D66961" w:rsidP="00D66961">
      <w:pPr>
        <w:spacing w:line="480" w:lineRule="auto"/>
        <w:jc w:val="center"/>
        <w:rPr>
          <w:rFonts w:ascii="Times New Roman" w:hAnsi="Times New Roman" w:cs="Times New Roman"/>
          <w:b/>
          <w:bCs/>
        </w:rPr>
      </w:pPr>
      <w:r w:rsidRPr="00D66961">
        <w:rPr>
          <w:rFonts w:ascii="Times New Roman" w:hAnsi="Times New Roman" w:cs="Times New Roman"/>
          <w:b/>
          <w:bCs/>
        </w:rPr>
        <w:lastRenderedPageBreak/>
        <w:t>References</w:t>
      </w:r>
    </w:p>
    <w:p w14:paraId="323E27A6" w14:textId="6BC6864E"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Ericsson, K. A. (2004). Deliberate practice and the acquisition and maintenance of expert</w:t>
      </w:r>
      <w:r>
        <w:rPr>
          <w:rFonts w:ascii="Times New Roman" w:hAnsi="Times New Roman" w:cs="Times New Roman"/>
        </w:rPr>
        <w:br/>
        <w:t xml:space="preserve">          </w:t>
      </w:r>
      <w:r w:rsidRPr="00D66961">
        <w:rPr>
          <w:rFonts w:ascii="Times New Roman" w:hAnsi="Times New Roman" w:cs="Times New Roman"/>
        </w:rPr>
        <w:t xml:space="preserve">performance in medicine and related domains. </w:t>
      </w:r>
      <w:r w:rsidRPr="00D66961">
        <w:rPr>
          <w:rFonts w:ascii="Times New Roman" w:hAnsi="Times New Roman" w:cs="Times New Roman"/>
          <w:i/>
          <w:iCs/>
        </w:rPr>
        <w:t>Academic Medicine, 79</w:t>
      </w:r>
      <w:r w:rsidRPr="00D66961">
        <w:rPr>
          <w:rFonts w:ascii="Times New Roman" w:hAnsi="Times New Roman" w:cs="Times New Roman"/>
        </w:rPr>
        <w:t>(10), S70–S81.</w:t>
      </w:r>
    </w:p>
    <w:p w14:paraId="1583D244" w14:textId="77777777"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 xml:space="preserve">Fullan, M. (2016). </w:t>
      </w:r>
      <w:r w:rsidRPr="00D66961">
        <w:rPr>
          <w:rFonts w:ascii="Times New Roman" w:hAnsi="Times New Roman" w:cs="Times New Roman"/>
          <w:i/>
          <w:iCs/>
        </w:rPr>
        <w:t>The new meaning of educational change</w:t>
      </w:r>
      <w:r w:rsidRPr="00D66961">
        <w:rPr>
          <w:rFonts w:ascii="Times New Roman" w:hAnsi="Times New Roman" w:cs="Times New Roman"/>
        </w:rPr>
        <w:t xml:space="preserve"> (5th ed.). Teachers College Press.</w:t>
      </w:r>
    </w:p>
    <w:p w14:paraId="7D262EB3" w14:textId="2B6D193B"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 xml:space="preserve">Hattie, J., &amp; Timperley, H. (2007). The power of feedback. </w:t>
      </w:r>
      <w:r w:rsidRPr="00D66961">
        <w:rPr>
          <w:rFonts w:ascii="Times New Roman" w:hAnsi="Times New Roman" w:cs="Times New Roman"/>
          <w:i/>
          <w:iCs/>
        </w:rPr>
        <w:t>Review of Educational Research,</w:t>
      </w:r>
      <w:r>
        <w:rPr>
          <w:rFonts w:ascii="Times New Roman" w:hAnsi="Times New Roman" w:cs="Times New Roman"/>
          <w:i/>
          <w:iCs/>
        </w:rPr>
        <w:br/>
        <w:t xml:space="preserve">          </w:t>
      </w:r>
      <w:r w:rsidRPr="00D66961">
        <w:rPr>
          <w:rFonts w:ascii="Times New Roman" w:hAnsi="Times New Roman" w:cs="Times New Roman"/>
          <w:i/>
          <w:iCs/>
        </w:rPr>
        <w:t>77</w:t>
      </w:r>
      <w:r w:rsidRPr="00D66961">
        <w:rPr>
          <w:rFonts w:ascii="Times New Roman" w:hAnsi="Times New Roman" w:cs="Times New Roman"/>
        </w:rPr>
        <w:t>(1), 81–112.</w:t>
      </w:r>
    </w:p>
    <w:p w14:paraId="2725AA4D" w14:textId="60792EA3"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Leppin, A. L., Baumann, A. A., Fernandez, M. E., Rudd, B. N., Stevens, K. R., Warner, D. O., Kwan, B. M., &amp; Shelton, R. C. (2021). Teaching for implementation: A framework for building</w:t>
      </w:r>
      <w:r w:rsidR="00E42676">
        <w:rPr>
          <w:rFonts w:ascii="Times New Roman" w:hAnsi="Times New Roman" w:cs="Times New Roman"/>
        </w:rPr>
        <w:br/>
        <w:t xml:space="preserve">          </w:t>
      </w:r>
      <w:r w:rsidRPr="00D66961">
        <w:rPr>
          <w:rFonts w:ascii="Times New Roman" w:hAnsi="Times New Roman" w:cs="Times New Roman"/>
        </w:rPr>
        <w:t xml:space="preserve">implementation research and practice capacity within the translational science workforce. </w:t>
      </w:r>
      <w:r w:rsidRPr="00D66961">
        <w:rPr>
          <w:rFonts w:ascii="Times New Roman" w:hAnsi="Times New Roman" w:cs="Times New Roman"/>
          <w:i/>
          <w:iCs/>
        </w:rPr>
        <w:t>Journal of Clinical and Translational Science, 5</w:t>
      </w:r>
      <w:r w:rsidRPr="00D66961">
        <w:rPr>
          <w:rFonts w:ascii="Times New Roman" w:hAnsi="Times New Roman" w:cs="Times New Roman"/>
        </w:rPr>
        <w:t xml:space="preserve">(1), e147. </w:t>
      </w:r>
      <w:hyperlink r:id="rId5" w:tgtFrame="_blank" w:history="1">
        <w:r w:rsidRPr="00D66961">
          <w:rPr>
            <w:rStyle w:val="Hyperlink"/>
            <w:rFonts w:ascii="Times New Roman" w:hAnsi="Times New Roman" w:cs="Times New Roman"/>
          </w:rPr>
          <w:t>https://doi.org/10.1017/cts.2021.809</w:t>
        </w:r>
      </w:hyperlink>
      <w:r w:rsidR="00E42676">
        <w:rPr>
          <w:rFonts w:ascii="Times New Roman" w:hAnsi="Times New Roman" w:cs="Times New Roman"/>
        </w:rPr>
        <w:br/>
      </w:r>
      <w:r w:rsidRPr="00D66961">
        <w:rPr>
          <w:rFonts w:ascii="Times New Roman" w:hAnsi="Times New Roman" w:cs="Times New Roman"/>
        </w:rPr>
        <w:t xml:space="preserve">Mayer, R. E. (2009). </w:t>
      </w:r>
      <w:r w:rsidRPr="00D66961">
        <w:rPr>
          <w:rFonts w:ascii="Times New Roman" w:hAnsi="Times New Roman" w:cs="Times New Roman"/>
          <w:i/>
          <w:iCs/>
        </w:rPr>
        <w:t>Multimedia learning</w:t>
      </w:r>
      <w:r w:rsidRPr="00D66961">
        <w:rPr>
          <w:rFonts w:ascii="Times New Roman" w:hAnsi="Times New Roman" w:cs="Times New Roman"/>
        </w:rPr>
        <w:t xml:space="preserve"> (2nd ed.). Cambridge University Press.</w:t>
      </w:r>
    </w:p>
    <w:p w14:paraId="6B0323C9" w14:textId="30295384"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Naing, C., Whittaker, M. A., Aung, H. H., Chellappan, D. K., &amp; Riegelman, A. (2023). The</w:t>
      </w:r>
      <w:r w:rsidR="00E42676">
        <w:rPr>
          <w:rFonts w:ascii="Times New Roman" w:hAnsi="Times New Roman" w:cs="Times New Roman"/>
        </w:rPr>
        <w:br/>
        <w:t xml:space="preserve">          </w:t>
      </w:r>
      <w:r w:rsidRPr="00D66961">
        <w:rPr>
          <w:rFonts w:ascii="Times New Roman" w:hAnsi="Times New Roman" w:cs="Times New Roman"/>
        </w:rPr>
        <w:t>effects of flipped classrooms to improve learning outcomes in undergraduate health</w:t>
      </w:r>
      <w:r w:rsidR="00E42676">
        <w:rPr>
          <w:rFonts w:ascii="Times New Roman" w:hAnsi="Times New Roman" w:cs="Times New Roman"/>
        </w:rPr>
        <w:br/>
        <w:t xml:space="preserve">          </w:t>
      </w:r>
      <w:r w:rsidRPr="00D66961">
        <w:rPr>
          <w:rFonts w:ascii="Times New Roman" w:hAnsi="Times New Roman" w:cs="Times New Roman"/>
        </w:rPr>
        <w:t xml:space="preserve">professional education: A systematic review. </w:t>
      </w:r>
      <w:r w:rsidRPr="00D66961">
        <w:rPr>
          <w:rFonts w:ascii="Times New Roman" w:hAnsi="Times New Roman" w:cs="Times New Roman"/>
          <w:i/>
          <w:iCs/>
        </w:rPr>
        <w:t>Campbell Systematic Reviews, 19</w:t>
      </w:r>
      <w:r w:rsidRPr="00D66961">
        <w:rPr>
          <w:rFonts w:ascii="Times New Roman" w:hAnsi="Times New Roman" w:cs="Times New Roman"/>
        </w:rPr>
        <w:t>(3), e1339.</w:t>
      </w:r>
      <w:r w:rsidR="00E42676">
        <w:rPr>
          <w:rFonts w:ascii="Times New Roman" w:hAnsi="Times New Roman" w:cs="Times New Roman"/>
        </w:rPr>
        <w:br/>
        <w:t xml:space="preserve">          </w:t>
      </w:r>
      <w:hyperlink r:id="rId6" w:tgtFrame="_blank" w:history="1">
        <w:r w:rsidRPr="00D66961">
          <w:rPr>
            <w:rStyle w:val="Hyperlink"/>
            <w:rFonts w:ascii="Times New Roman" w:hAnsi="Times New Roman" w:cs="Times New Roman"/>
          </w:rPr>
          <w:t>https://doi.org/10.1002/cl2.1339</w:t>
        </w:r>
      </w:hyperlink>
    </w:p>
    <w:p w14:paraId="7280D1B9" w14:textId="0117D17F"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 xml:space="preserve">Proctor, E., </w:t>
      </w:r>
      <w:proofErr w:type="spellStart"/>
      <w:r w:rsidRPr="00D66961">
        <w:rPr>
          <w:rFonts w:ascii="Times New Roman" w:hAnsi="Times New Roman" w:cs="Times New Roman"/>
        </w:rPr>
        <w:t>Silmere</w:t>
      </w:r>
      <w:proofErr w:type="spellEnd"/>
      <w:r w:rsidRPr="00D66961">
        <w:rPr>
          <w:rFonts w:ascii="Times New Roman" w:hAnsi="Times New Roman" w:cs="Times New Roman"/>
        </w:rPr>
        <w:t xml:space="preserve">, H., Raghavan, R., Hovmand, P., Aarons, G., Bunger, A., Griffey, R., &amp; </w:t>
      </w:r>
      <w:r w:rsidR="00E42676">
        <w:rPr>
          <w:rFonts w:ascii="Times New Roman" w:hAnsi="Times New Roman" w:cs="Times New Roman"/>
        </w:rPr>
        <w:br/>
        <w:t xml:space="preserve">          </w:t>
      </w:r>
      <w:r w:rsidRPr="00D66961">
        <w:rPr>
          <w:rFonts w:ascii="Times New Roman" w:hAnsi="Times New Roman" w:cs="Times New Roman"/>
        </w:rPr>
        <w:t xml:space="preserve">Hensley, M. (2011). Outcomes for implementation research: Conceptual distinctions, </w:t>
      </w:r>
      <w:r w:rsidR="00E42676">
        <w:rPr>
          <w:rFonts w:ascii="Times New Roman" w:hAnsi="Times New Roman" w:cs="Times New Roman"/>
        </w:rPr>
        <w:br/>
        <w:t xml:space="preserve">          </w:t>
      </w:r>
      <w:r w:rsidRPr="00D66961">
        <w:rPr>
          <w:rFonts w:ascii="Times New Roman" w:hAnsi="Times New Roman" w:cs="Times New Roman"/>
        </w:rPr>
        <w:t xml:space="preserve">measurement challenges, and research agenda. </w:t>
      </w:r>
      <w:r w:rsidRPr="00D66961">
        <w:rPr>
          <w:rFonts w:ascii="Times New Roman" w:hAnsi="Times New Roman" w:cs="Times New Roman"/>
          <w:i/>
          <w:iCs/>
        </w:rPr>
        <w:t xml:space="preserve">Administration and Policy in Mental </w:t>
      </w:r>
      <w:r w:rsidR="00E42676">
        <w:rPr>
          <w:rFonts w:ascii="Times New Roman" w:hAnsi="Times New Roman" w:cs="Times New Roman"/>
          <w:i/>
          <w:iCs/>
        </w:rPr>
        <w:br/>
        <w:t xml:space="preserve">          </w:t>
      </w:r>
      <w:r w:rsidRPr="00D66961">
        <w:rPr>
          <w:rFonts w:ascii="Times New Roman" w:hAnsi="Times New Roman" w:cs="Times New Roman"/>
          <w:i/>
          <w:iCs/>
        </w:rPr>
        <w:t>Health and Mental Health Services Research, 38</w:t>
      </w:r>
      <w:r w:rsidRPr="00D66961">
        <w:rPr>
          <w:rFonts w:ascii="Times New Roman" w:hAnsi="Times New Roman" w:cs="Times New Roman"/>
        </w:rPr>
        <w:t xml:space="preserve">(2), 65–76. </w:t>
      </w:r>
      <w:r w:rsidR="00E42676">
        <w:rPr>
          <w:rFonts w:ascii="Times New Roman" w:hAnsi="Times New Roman" w:cs="Times New Roman"/>
        </w:rPr>
        <w:br/>
        <w:t xml:space="preserve">          </w:t>
      </w:r>
      <w:hyperlink r:id="rId7" w:history="1">
        <w:r w:rsidR="00E42676" w:rsidRPr="00C85F65">
          <w:rPr>
            <w:rStyle w:val="Hyperlink"/>
            <w:rFonts w:ascii="Times New Roman" w:hAnsi="Times New Roman" w:cs="Times New Roman"/>
          </w:rPr>
          <w:t>https://doi.org/10.1007/s10488-010-0319-7</w:t>
        </w:r>
      </w:hyperlink>
    </w:p>
    <w:p w14:paraId="52FAA236" w14:textId="49ED33F3"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lastRenderedPageBreak/>
        <w:t xml:space="preserve">Sidhu, P. S., Brabrand, K., </w:t>
      </w:r>
      <w:proofErr w:type="spellStart"/>
      <w:r w:rsidRPr="00D66961">
        <w:rPr>
          <w:rFonts w:ascii="Times New Roman" w:hAnsi="Times New Roman" w:cs="Times New Roman"/>
        </w:rPr>
        <w:t>Cantisani</w:t>
      </w:r>
      <w:proofErr w:type="spellEnd"/>
      <w:r w:rsidRPr="00D66961">
        <w:rPr>
          <w:rFonts w:ascii="Times New Roman" w:hAnsi="Times New Roman" w:cs="Times New Roman"/>
        </w:rPr>
        <w:t>, V., et al. (2017). EFSUMB recommendations on education</w:t>
      </w:r>
      <w:r w:rsidR="00E42676">
        <w:rPr>
          <w:rFonts w:ascii="Times New Roman" w:hAnsi="Times New Roman" w:cs="Times New Roman"/>
        </w:rPr>
        <w:br/>
        <w:t xml:space="preserve">          </w:t>
      </w:r>
      <w:r w:rsidRPr="00D66961">
        <w:rPr>
          <w:rFonts w:ascii="Times New Roman" w:hAnsi="Times New Roman" w:cs="Times New Roman"/>
        </w:rPr>
        <w:t xml:space="preserve">and training in ultrasound. </w:t>
      </w:r>
      <w:proofErr w:type="spellStart"/>
      <w:r w:rsidRPr="00D66961">
        <w:rPr>
          <w:rFonts w:ascii="Times New Roman" w:hAnsi="Times New Roman" w:cs="Times New Roman"/>
          <w:i/>
          <w:iCs/>
        </w:rPr>
        <w:t>Ultraschall</w:t>
      </w:r>
      <w:proofErr w:type="spellEnd"/>
      <w:r w:rsidRPr="00D66961">
        <w:rPr>
          <w:rFonts w:ascii="Times New Roman" w:hAnsi="Times New Roman" w:cs="Times New Roman"/>
          <w:i/>
          <w:iCs/>
        </w:rPr>
        <w:t xml:space="preserve"> in der </w:t>
      </w:r>
      <w:proofErr w:type="spellStart"/>
      <w:r w:rsidRPr="00D66961">
        <w:rPr>
          <w:rFonts w:ascii="Times New Roman" w:hAnsi="Times New Roman" w:cs="Times New Roman"/>
          <w:i/>
          <w:iCs/>
        </w:rPr>
        <w:t>Medizin</w:t>
      </w:r>
      <w:proofErr w:type="spellEnd"/>
      <w:r w:rsidRPr="00D66961">
        <w:rPr>
          <w:rFonts w:ascii="Times New Roman" w:hAnsi="Times New Roman" w:cs="Times New Roman"/>
          <w:i/>
          <w:iCs/>
        </w:rPr>
        <w:t>, 38</w:t>
      </w:r>
      <w:r w:rsidRPr="00D66961">
        <w:rPr>
          <w:rFonts w:ascii="Times New Roman" w:hAnsi="Times New Roman" w:cs="Times New Roman"/>
        </w:rPr>
        <w:t xml:space="preserve">(4), 364–369. </w:t>
      </w:r>
      <w:r w:rsidR="00E42676">
        <w:rPr>
          <w:rFonts w:ascii="Times New Roman" w:hAnsi="Times New Roman" w:cs="Times New Roman"/>
        </w:rPr>
        <w:br/>
        <w:t xml:space="preserve">          </w:t>
      </w:r>
      <w:hyperlink r:id="rId8" w:history="1">
        <w:r w:rsidR="00E42676" w:rsidRPr="00C85F65">
          <w:rPr>
            <w:rStyle w:val="Hyperlink"/>
            <w:rFonts w:ascii="Times New Roman" w:hAnsi="Times New Roman" w:cs="Times New Roman"/>
          </w:rPr>
          <w:t>https://doi.org/10.1055/s-0043-111663</w:t>
        </w:r>
      </w:hyperlink>
    </w:p>
    <w:p w14:paraId="742DE321" w14:textId="657552C9" w:rsidR="00D66961" w:rsidRPr="00D66961" w:rsidRDefault="00D66961" w:rsidP="00D66961">
      <w:pPr>
        <w:spacing w:line="480" w:lineRule="auto"/>
        <w:rPr>
          <w:rFonts w:ascii="Times New Roman" w:hAnsi="Times New Roman" w:cs="Times New Roman"/>
        </w:rPr>
      </w:pPr>
      <w:r w:rsidRPr="00D66961">
        <w:rPr>
          <w:rFonts w:ascii="Times New Roman" w:hAnsi="Times New Roman" w:cs="Times New Roman"/>
        </w:rPr>
        <w:t xml:space="preserve">Thomas, D. C., Berry, A., </w:t>
      </w:r>
      <w:proofErr w:type="spellStart"/>
      <w:r w:rsidRPr="00D66961">
        <w:rPr>
          <w:rFonts w:ascii="Times New Roman" w:hAnsi="Times New Roman" w:cs="Times New Roman"/>
        </w:rPr>
        <w:t>Djuricich</w:t>
      </w:r>
      <w:proofErr w:type="spellEnd"/>
      <w:r w:rsidRPr="00D66961">
        <w:rPr>
          <w:rFonts w:ascii="Times New Roman" w:hAnsi="Times New Roman" w:cs="Times New Roman"/>
        </w:rPr>
        <w:t xml:space="preserve">, A. M., et al. (2016). What is implementation science and </w:t>
      </w:r>
      <w:r w:rsidR="00E42676">
        <w:rPr>
          <w:rFonts w:ascii="Times New Roman" w:hAnsi="Times New Roman" w:cs="Times New Roman"/>
        </w:rPr>
        <w:br/>
        <w:t xml:space="preserve">          </w:t>
      </w:r>
      <w:r w:rsidRPr="00D66961">
        <w:rPr>
          <w:rFonts w:ascii="Times New Roman" w:hAnsi="Times New Roman" w:cs="Times New Roman"/>
        </w:rPr>
        <w:t xml:space="preserve">what forces are driving a change in medical education? </w:t>
      </w:r>
      <w:r w:rsidRPr="00D66961">
        <w:rPr>
          <w:rFonts w:ascii="Times New Roman" w:hAnsi="Times New Roman" w:cs="Times New Roman"/>
          <w:i/>
          <w:iCs/>
        </w:rPr>
        <w:t xml:space="preserve">Journal of Graduate Medical </w:t>
      </w:r>
      <w:r w:rsidR="00E42676">
        <w:rPr>
          <w:rFonts w:ascii="Times New Roman" w:hAnsi="Times New Roman" w:cs="Times New Roman"/>
          <w:i/>
          <w:iCs/>
        </w:rPr>
        <w:br/>
        <w:t xml:space="preserve">          </w:t>
      </w:r>
      <w:r w:rsidRPr="00D66961">
        <w:rPr>
          <w:rFonts w:ascii="Times New Roman" w:hAnsi="Times New Roman" w:cs="Times New Roman"/>
          <w:i/>
          <w:iCs/>
        </w:rPr>
        <w:t>Education, 8</w:t>
      </w:r>
      <w:r w:rsidRPr="00D66961">
        <w:rPr>
          <w:rFonts w:ascii="Times New Roman" w:hAnsi="Times New Roman" w:cs="Times New Roman"/>
        </w:rPr>
        <w:t xml:space="preserve">(4), 593–600. </w:t>
      </w:r>
      <w:hyperlink r:id="rId9" w:tgtFrame="_blank" w:history="1">
        <w:r w:rsidRPr="00D66961">
          <w:rPr>
            <w:rStyle w:val="Hyperlink"/>
            <w:rFonts w:ascii="Times New Roman" w:hAnsi="Times New Roman" w:cs="Times New Roman"/>
          </w:rPr>
          <w:t>https://doi.org/10.4300/JGME-D-16-00075.1</w:t>
        </w:r>
      </w:hyperlink>
    </w:p>
    <w:p w14:paraId="146097C8" w14:textId="77777777" w:rsidR="000510C7" w:rsidRPr="00D66961" w:rsidRDefault="000510C7" w:rsidP="00D66961">
      <w:pPr>
        <w:spacing w:line="480" w:lineRule="auto"/>
        <w:rPr>
          <w:rFonts w:ascii="Times New Roman" w:hAnsi="Times New Roman" w:cs="Times New Roman"/>
        </w:rPr>
      </w:pPr>
    </w:p>
    <w:sectPr w:rsidR="000510C7" w:rsidRPr="00D669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13D1"/>
    <w:multiLevelType w:val="multilevel"/>
    <w:tmpl w:val="F00A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93375"/>
    <w:multiLevelType w:val="multilevel"/>
    <w:tmpl w:val="B6B2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DC2D5C"/>
    <w:multiLevelType w:val="multilevel"/>
    <w:tmpl w:val="B5E2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EE5141"/>
    <w:multiLevelType w:val="multilevel"/>
    <w:tmpl w:val="C1324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F042A4"/>
    <w:multiLevelType w:val="multilevel"/>
    <w:tmpl w:val="9858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B04CF4"/>
    <w:multiLevelType w:val="multilevel"/>
    <w:tmpl w:val="F118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3948216">
    <w:abstractNumId w:val="2"/>
  </w:num>
  <w:num w:numId="2" w16cid:durableId="2086492835">
    <w:abstractNumId w:val="1"/>
  </w:num>
  <w:num w:numId="3" w16cid:durableId="685139530">
    <w:abstractNumId w:val="3"/>
  </w:num>
  <w:num w:numId="4" w16cid:durableId="1085034494">
    <w:abstractNumId w:val="4"/>
  </w:num>
  <w:num w:numId="5" w16cid:durableId="1471481202">
    <w:abstractNumId w:val="5"/>
  </w:num>
  <w:num w:numId="6" w16cid:durableId="824931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61"/>
    <w:rsid w:val="000510C7"/>
    <w:rsid w:val="00274692"/>
    <w:rsid w:val="00290192"/>
    <w:rsid w:val="004C61D8"/>
    <w:rsid w:val="00A17DD3"/>
    <w:rsid w:val="00B81A23"/>
    <w:rsid w:val="00D66961"/>
    <w:rsid w:val="00E42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EDA4"/>
  <w15:chartTrackingRefBased/>
  <w15:docId w15:val="{99FA91B7-24EF-43F8-9B85-7C1AAC6F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6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6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69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69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69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69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9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9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9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9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69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69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69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69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69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9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9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961"/>
    <w:rPr>
      <w:rFonts w:eastAsiaTheme="majorEastAsia" w:cstheme="majorBidi"/>
      <w:color w:val="272727" w:themeColor="text1" w:themeTint="D8"/>
    </w:rPr>
  </w:style>
  <w:style w:type="paragraph" w:styleId="Title">
    <w:name w:val="Title"/>
    <w:basedOn w:val="Normal"/>
    <w:next w:val="Normal"/>
    <w:link w:val="TitleChar"/>
    <w:uiPriority w:val="10"/>
    <w:qFormat/>
    <w:rsid w:val="00D66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9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9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961"/>
    <w:pPr>
      <w:spacing w:before="160"/>
      <w:jc w:val="center"/>
    </w:pPr>
    <w:rPr>
      <w:i/>
      <w:iCs/>
      <w:color w:val="404040" w:themeColor="text1" w:themeTint="BF"/>
    </w:rPr>
  </w:style>
  <w:style w:type="character" w:customStyle="1" w:styleId="QuoteChar">
    <w:name w:val="Quote Char"/>
    <w:basedOn w:val="DefaultParagraphFont"/>
    <w:link w:val="Quote"/>
    <w:uiPriority w:val="29"/>
    <w:rsid w:val="00D66961"/>
    <w:rPr>
      <w:i/>
      <w:iCs/>
      <w:color w:val="404040" w:themeColor="text1" w:themeTint="BF"/>
    </w:rPr>
  </w:style>
  <w:style w:type="paragraph" w:styleId="ListParagraph">
    <w:name w:val="List Paragraph"/>
    <w:basedOn w:val="Normal"/>
    <w:uiPriority w:val="34"/>
    <w:qFormat/>
    <w:rsid w:val="00D66961"/>
    <w:pPr>
      <w:ind w:left="720"/>
      <w:contextualSpacing/>
    </w:pPr>
  </w:style>
  <w:style w:type="character" w:styleId="IntenseEmphasis">
    <w:name w:val="Intense Emphasis"/>
    <w:basedOn w:val="DefaultParagraphFont"/>
    <w:uiPriority w:val="21"/>
    <w:qFormat/>
    <w:rsid w:val="00D66961"/>
    <w:rPr>
      <w:i/>
      <w:iCs/>
      <w:color w:val="0F4761" w:themeColor="accent1" w:themeShade="BF"/>
    </w:rPr>
  </w:style>
  <w:style w:type="paragraph" w:styleId="IntenseQuote">
    <w:name w:val="Intense Quote"/>
    <w:basedOn w:val="Normal"/>
    <w:next w:val="Normal"/>
    <w:link w:val="IntenseQuoteChar"/>
    <w:uiPriority w:val="30"/>
    <w:qFormat/>
    <w:rsid w:val="00D66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6961"/>
    <w:rPr>
      <w:i/>
      <w:iCs/>
      <w:color w:val="0F4761" w:themeColor="accent1" w:themeShade="BF"/>
    </w:rPr>
  </w:style>
  <w:style w:type="character" w:styleId="IntenseReference">
    <w:name w:val="Intense Reference"/>
    <w:basedOn w:val="DefaultParagraphFont"/>
    <w:uiPriority w:val="32"/>
    <w:qFormat/>
    <w:rsid w:val="00D66961"/>
    <w:rPr>
      <w:b/>
      <w:bCs/>
      <w:smallCaps/>
      <w:color w:val="0F4761" w:themeColor="accent1" w:themeShade="BF"/>
      <w:spacing w:val="5"/>
    </w:rPr>
  </w:style>
  <w:style w:type="character" w:styleId="Hyperlink">
    <w:name w:val="Hyperlink"/>
    <w:basedOn w:val="DefaultParagraphFont"/>
    <w:uiPriority w:val="99"/>
    <w:unhideWhenUsed/>
    <w:rsid w:val="00D66961"/>
    <w:rPr>
      <w:color w:val="467886" w:themeColor="hyperlink"/>
      <w:u w:val="single"/>
    </w:rPr>
  </w:style>
  <w:style w:type="character" w:styleId="UnresolvedMention">
    <w:name w:val="Unresolved Mention"/>
    <w:basedOn w:val="DefaultParagraphFont"/>
    <w:uiPriority w:val="99"/>
    <w:semiHidden/>
    <w:unhideWhenUsed/>
    <w:rsid w:val="00D66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55/s-0043-111663" TargetMode="External"/><Relationship Id="rId3" Type="http://schemas.openxmlformats.org/officeDocument/2006/relationships/settings" Target="settings.xml"/><Relationship Id="rId7" Type="http://schemas.openxmlformats.org/officeDocument/2006/relationships/hyperlink" Target="https://doi.org/10.1007/s10488-010-031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2/cl2.1339" TargetMode="External"/><Relationship Id="rId11" Type="http://schemas.openxmlformats.org/officeDocument/2006/relationships/theme" Target="theme/theme1.xml"/><Relationship Id="rId5" Type="http://schemas.openxmlformats.org/officeDocument/2006/relationships/hyperlink" Target="https://doi.org/10.1017/cts.2021.80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4300/JGME-D-16-0007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269</TotalTime>
  <Pages>12</Pages>
  <Words>1655</Words>
  <Characters>12104</Characters>
  <Application>Microsoft Office Word</Application>
  <DocSecurity>0</DocSecurity>
  <Lines>295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Cowden</dc:creator>
  <cp:keywords/>
  <dc:description/>
  <cp:lastModifiedBy>Liberty Cowden</cp:lastModifiedBy>
  <cp:revision>1</cp:revision>
  <dcterms:created xsi:type="dcterms:W3CDTF">2026-05-04T09:30:00Z</dcterms:created>
  <dcterms:modified xsi:type="dcterms:W3CDTF">2026-05-04T14:27:00Z</dcterms:modified>
</cp:coreProperties>
</file>